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9D8" w:rsidRPr="00C969D8" w:rsidRDefault="00C969D8" w:rsidP="00C969D8">
      <w:pPr>
        <w:suppressAutoHyphens w:val="0"/>
        <w:spacing w:after="0" w:line="240" w:lineRule="auto"/>
        <w:jc w:val="right"/>
        <w:rPr>
          <w:rFonts w:asciiTheme="majorHAnsi" w:eastAsia="Times New Roman" w:hAnsiTheme="majorHAnsi" w:cstheme="majorHAnsi"/>
          <w:bCs/>
        </w:rPr>
      </w:pPr>
      <w:r w:rsidRPr="00C969D8">
        <w:rPr>
          <w:rFonts w:asciiTheme="majorHAnsi" w:eastAsia="Times New Roman" w:hAnsiTheme="majorHAnsi" w:cstheme="majorHAnsi"/>
          <w:bCs/>
        </w:rPr>
        <w:t xml:space="preserve">Warszawa 11 październik 2024  r. </w:t>
      </w:r>
    </w:p>
    <w:p w:rsidR="00C969D8" w:rsidRPr="00C969D8" w:rsidRDefault="00C969D8" w:rsidP="00C969D8">
      <w:pPr>
        <w:suppressAutoHyphens w:val="0"/>
        <w:spacing w:after="0" w:line="240" w:lineRule="auto"/>
        <w:jc w:val="center"/>
        <w:rPr>
          <w:rFonts w:asciiTheme="majorHAnsi" w:eastAsia="Times New Roman" w:hAnsiTheme="majorHAnsi" w:cstheme="majorHAnsi"/>
          <w:b/>
        </w:rPr>
      </w:pPr>
    </w:p>
    <w:p w:rsidR="00C969D8" w:rsidRPr="00C969D8" w:rsidRDefault="00C969D8" w:rsidP="00C969D8">
      <w:pPr>
        <w:suppressAutoHyphens w:val="0"/>
        <w:spacing w:after="0" w:line="240" w:lineRule="auto"/>
        <w:jc w:val="center"/>
        <w:rPr>
          <w:rFonts w:asciiTheme="majorHAnsi" w:eastAsia="Times New Roman" w:hAnsiTheme="majorHAnsi" w:cstheme="majorHAnsi"/>
          <w:b/>
        </w:rPr>
      </w:pPr>
    </w:p>
    <w:p w:rsidR="00C969D8" w:rsidRPr="00C969D8" w:rsidRDefault="00C969D8" w:rsidP="00C969D8">
      <w:pPr>
        <w:suppressAutoHyphens w:val="0"/>
        <w:spacing w:after="0" w:line="240" w:lineRule="auto"/>
        <w:jc w:val="center"/>
        <w:rPr>
          <w:rFonts w:asciiTheme="majorHAnsi" w:eastAsia="Times New Roman" w:hAnsiTheme="majorHAnsi" w:cstheme="majorHAnsi"/>
          <w:b/>
        </w:rPr>
      </w:pPr>
      <w:r w:rsidRPr="00C969D8">
        <w:rPr>
          <w:rFonts w:asciiTheme="majorHAnsi" w:eastAsia="Times New Roman" w:hAnsiTheme="majorHAnsi" w:cstheme="majorHAnsi"/>
          <w:b/>
        </w:rPr>
        <w:t>SZACOWANIE WARTOŚCI ZAMÓWIENIA</w:t>
      </w:r>
    </w:p>
    <w:p w:rsidR="00C969D8" w:rsidRPr="00C969D8" w:rsidRDefault="00C969D8" w:rsidP="00C969D8">
      <w:pPr>
        <w:suppressAutoHyphens w:val="0"/>
        <w:spacing w:after="0" w:line="240" w:lineRule="auto"/>
        <w:jc w:val="both"/>
        <w:rPr>
          <w:rFonts w:asciiTheme="majorHAnsi" w:eastAsia="Times New Roman" w:hAnsiTheme="majorHAnsi" w:cstheme="majorHAnsi"/>
        </w:rPr>
      </w:pPr>
    </w:p>
    <w:p w:rsidR="00C969D8" w:rsidRPr="00C969D8" w:rsidRDefault="00C969D8" w:rsidP="00C969D8">
      <w:pPr>
        <w:suppressAutoHyphens w:val="0"/>
        <w:spacing w:after="0" w:line="312" w:lineRule="auto"/>
        <w:jc w:val="both"/>
        <w:rPr>
          <w:rFonts w:asciiTheme="majorHAnsi" w:eastAsia="Times New Roman" w:hAnsiTheme="majorHAnsi" w:cstheme="majorHAnsi"/>
          <w:i/>
          <w:iCs/>
        </w:rPr>
      </w:pPr>
      <w:r w:rsidRPr="00C969D8">
        <w:rPr>
          <w:rFonts w:asciiTheme="majorHAnsi" w:eastAsia="Times New Roman" w:hAnsiTheme="majorHAnsi" w:cstheme="majorHAnsi"/>
        </w:rPr>
        <w:t>Szacowanie wartości zamówienia dotyczące usługi polegającej na:</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eastAsia="TimesNewRomanPSMT;Times New Rom" w:hAnsiTheme="majorHAnsi" w:cstheme="majorHAnsi"/>
          <w:color w:val="000000"/>
        </w:rPr>
        <w:t>Przedmiotem zamówienia jest</w:t>
      </w:r>
      <w:r w:rsidRPr="00C969D8">
        <w:rPr>
          <w:rFonts w:asciiTheme="majorHAnsi" w:eastAsia="TimesNewRomanPSMT;Times New Rom" w:hAnsiTheme="majorHAnsi" w:cstheme="majorHAnsi"/>
          <w:b/>
          <w:color w:val="000000"/>
        </w:rPr>
        <w:t xml:space="preserve"> </w:t>
      </w:r>
      <w:r w:rsidRPr="00C969D8">
        <w:rPr>
          <w:rFonts w:asciiTheme="majorHAnsi" w:eastAsia="TimesNewRomanPSMT;Times New Rom" w:hAnsiTheme="majorHAnsi" w:cstheme="majorHAnsi"/>
          <w:color w:val="000000"/>
        </w:rPr>
        <w:t xml:space="preserve">kompleksowa </w:t>
      </w:r>
      <w:r w:rsidRPr="00C969D8">
        <w:rPr>
          <w:rFonts w:asciiTheme="majorHAnsi" w:hAnsiTheme="majorHAnsi" w:cstheme="majorHAnsi"/>
        </w:rPr>
        <w:t xml:space="preserve">dostawa paliwa gazowego do </w:t>
      </w:r>
      <w:r w:rsidRPr="00C969D8">
        <w:rPr>
          <w:rFonts w:asciiTheme="majorHAnsi" w:hAnsiTheme="majorHAnsi" w:cstheme="majorHAnsi"/>
          <w:b/>
        </w:rPr>
        <w:t>Muzeum Wnętrz w Otwocku Wielkim</w:t>
      </w:r>
      <w:r w:rsidRPr="00C969D8">
        <w:rPr>
          <w:rFonts w:asciiTheme="majorHAnsi" w:hAnsiTheme="majorHAnsi" w:cstheme="majorHAnsi"/>
        </w:rPr>
        <w:t xml:space="preserve">, Oddział Muzeum Narodowego w Warszawie, w okresie 12 miesięcy od dnia podpisania umowy. </w:t>
      </w:r>
    </w:p>
    <w:p w:rsidR="00C969D8" w:rsidRPr="00C969D8" w:rsidRDefault="00C969D8" w:rsidP="00C969D8">
      <w:pPr>
        <w:suppressAutoHyphens w:val="0"/>
        <w:spacing w:after="0" w:line="312" w:lineRule="auto"/>
        <w:jc w:val="both"/>
        <w:rPr>
          <w:rFonts w:asciiTheme="majorHAnsi" w:eastAsia="Times New Roman" w:hAnsiTheme="majorHAnsi" w:cstheme="majorHAnsi"/>
        </w:rPr>
      </w:pPr>
      <w:r w:rsidRPr="00C969D8">
        <w:rPr>
          <w:rFonts w:asciiTheme="majorHAnsi" w:eastAsia="Times New Roman" w:hAnsiTheme="majorHAnsi" w:cstheme="majorHAnsi"/>
        </w:rPr>
        <w:t xml:space="preserve">W celu zbadania oferty rynkowej oraz oszacowania wartości przedmiotu zamówienia, </w:t>
      </w:r>
      <w:r w:rsidRPr="00C969D8">
        <w:rPr>
          <w:rFonts w:asciiTheme="majorHAnsi" w:hAnsiTheme="majorHAnsi" w:cstheme="majorHAnsi"/>
        </w:rPr>
        <w:t xml:space="preserve">Zamawiający –  Muzeum Plakatu w Wilanowie, Oddział </w:t>
      </w:r>
      <w:r w:rsidRPr="00C969D8">
        <w:rPr>
          <w:rFonts w:asciiTheme="majorHAnsi" w:hAnsiTheme="majorHAnsi" w:cstheme="majorHAnsi"/>
          <w:bCs/>
        </w:rPr>
        <w:t>Muzeum Narodowe w Warszawie</w:t>
      </w:r>
      <w:r w:rsidRPr="00C969D8">
        <w:rPr>
          <w:rFonts w:asciiTheme="majorHAnsi" w:eastAsia="Times New Roman" w:hAnsiTheme="majorHAnsi" w:cstheme="majorHAnsi"/>
        </w:rPr>
        <w:t xml:space="preserve"> zwraca się z prośbą o przedstawienie informacji dotyczących szacunkowych kosztów realizacji niżej opisanego zamówienia. W załącznik </w:t>
      </w:r>
      <w:r w:rsidRPr="00C969D8">
        <w:rPr>
          <w:rFonts w:asciiTheme="majorHAnsi" w:eastAsia="Times New Roman" w:hAnsiTheme="majorHAnsi" w:cstheme="majorHAnsi"/>
          <w:b/>
        </w:rPr>
        <w:t>OFERTY nr 3</w:t>
      </w:r>
      <w:r w:rsidRPr="00C969D8">
        <w:rPr>
          <w:rFonts w:asciiTheme="majorHAnsi" w:eastAsia="Times New Roman" w:hAnsiTheme="majorHAnsi" w:cstheme="majorHAnsi"/>
        </w:rPr>
        <w:t xml:space="preserve">  </w:t>
      </w:r>
    </w:p>
    <w:p w:rsidR="00C969D8" w:rsidRPr="00C969D8" w:rsidRDefault="00C969D8" w:rsidP="00C969D8">
      <w:pPr>
        <w:suppressAutoHyphens w:val="0"/>
        <w:spacing w:after="0" w:line="312" w:lineRule="auto"/>
        <w:jc w:val="both"/>
        <w:rPr>
          <w:rFonts w:asciiTheme="majorHAnsi" w:eastAsia="Times New Roman" w:hAnsiTheme="majorHAnsi" w:cstheme="majorHAnsi"/>
        </w:rPr>
      </w:pPr>
    </w:p>
    <w:p w:rsidR="00C969D8" w:rsidRPr="00C969D8" w:rsidRDefault="00C969D8" w:rsidP="00C969D8">
      <w:pPr>
        <w:suppressAutoHyphens w:val="0"/>
        <w:spacing w:after="0" w:line="312" w:lineRule="auto"/>
        <w:jc w:val="both"/>
        <w:rPr>
          <w:rFonts w:asciiTheme="majorHAnsi" w:eastAsia="Times New Roman" w:hAnsiTheme="majorHAnsi" w:cstheme="majorHAnsi"/>
        </w:rPr>
      </w:pPr>
      <w:r w:rsidRPr="00C969D8">
        <w:rPr>
          <w:rFonts w:asciiTheme="majorHAnsi" w:eastAsia="Times New Roman" w:hAnsiTheme="majorHAnsi" w:cstheme="majorHAnsi"/>
          <w:b/>
        </w:rPr>
        <w:t>UWAGA!</w:t>
      </w:r>
      <w:r w:rsidRPr="00C969D8">
        <w:rPr>
          <w:rFonts w:asciiTheme="majorHAnsi" w:eastAsia="Times New Roman" w:hAnsiTheme="majorHAnsi" w:cstheme="majorHAnsi"/>
        </w:rPr>
        <w:t xml:space="preserve"> Niniejsze szacowanie wartości zamówienia nie stanowi oferty w rozumieniu art. 66 Kodeksu Cywilnego, jak również nie jest ogłoszeniem ani zapytaniem o cenę w rozumieniu ustawy</w:t>
      </w:r>
      <w:r w:rsidRPr="00C969D8">
        <w:rPr>
          <w:rFonts w:asciiTheme="majorHAnsi" w:eastAsiaTheme="majorEastAsia" w:hAnsiTheme="majorHAnsi" w:cstheme="majorHAnsi"/>
          <w:lang w:eastAsia="en-US"/>
        </w:rPr>
        <w:t xml:space="preserve"> z dnia 11 września 2019 r. – </w:t>
      </w:r>
      <w:r w:rsidRPr="00C969D8">
        <w:rPr>
          <w:rFonts w:asciiTheme="majorHAnsi" w:eastAsiaTheme="majorEastAsia" w:hAnsiTheme="majorHAnsi" w:cstheme="majorHAnsi"/>
          <w:i/>
          <w:iCs/>
          <w:lang w:eastAsia="en-US"/>
        </w:rPr>
        <w:t>Prawo zamówień publicznych</w:t>
      </w:r>
      <w:r w:rsidRPr="00C969D8">
        <w:rPr>
          <w:rFonts w:asciiTheme="majorHAnsi" w:eastAsiaTheme="majorEastAsia" w:hAnsiTheme="majorHAnsi" w:cstheme="majorHAnsi"/>
          <w:lang w:eastAsia="en-US"/>
        </w:rPr>
        <w:t xml:space="preserve"> (</w:t>
      </w:r>
      <w:r w:rsidRPr="00C969D8">
        <w:rPr>
          <w:rFonts w:asciiTheme="majorHAnsi" w:hAnsiTheme="majorHAnsi" w:cstheme="majorHAnsi"/>
          <w:color w:val="222222"/>
        </w:rPr>
        <w:t xml:space="preserve">t. j. z </w:t>
      </w:r>
      <w:r w:rsidRPr="00C969D8">
        <w:rPr>
          <w:rFonts w:asciiTheme="majorHAnsi" w:hAnsiTheme="majorHAnsi" w:cstheme="majorHAnsi"/>
        </w:rPr>
        <w:t xml:space="preserve">2021 r., poz. 1129) </w:t>
      </w:r>
      <w:r w:rsidRPr="00C969D8">
        <w:rPr>
          <w:rFonts w:asciiTheme="majorHAnsi" w:eastAsia="Times New Roman" w:hAnsiTheme="majorHAnsi" w:cstheme="majorHAnsi"/>
        </w:rPr>
        <w:t>lub innych regulaminów obowiązujących w Muzeum Narodowym w Warszawie. Informacja ta ma na celu wyłącznie rozpoznanie rynku i uzyskanie wiedzy na temat kosztów opisanej usługi.</w:t>
      </w:r>
    </w:p>
    <w:p w:rsidR="00C969D8" w:rsidRPr="00C969D8" w:rsidRDefault="00C969D8" w:rsidP="00C969D8">
      <w:pPr>
        <w:suppressAutoHyphens w:val="0"/>
        <w:spacing w:after="0" w:line="312" w:lineRule="auto"/>
        <w:jc w:val="both"/>
        <w:rPr>
          <w:rFonts w:asciiTheme="majorHAnsi" w:eastAsia="Times New Roman" w:hAnsiTheme="majorHAnsi" w:cstheme="majorHAnsi"/>
        </w:rPr>
      </w:pPr>
    </w:p>
    <w:p w:rsidR="00C969D8" w:rsidRPr="00C969D8" w:rsidRDefault="00C969D8" w:rsidP="00C969D8">
      <w:pPr>
        <w:pStyle w:val="Akapitzlist"/>
        <w:numPr>
          <w:ilvl w:val="0"/>
          <w:numId w:val="1"/>
        </w:numPr>
        <w:tabs>
          <w:tab w:val="left" w:pos="284"/>
        </w:tabs>
        <w:spacing w:after="0" w:line="240" w:lineRule="auto"/>
        <w:ind w:left="0" w:firstLine="0"/>
        <w:jc w:val="both"/>
        <w:rPr>
          <w:rFonts w:asciiTheme="majorHAnsi" w:eastAsiaTheme="minorHAnsi" w:hAnsiTheme="majorHAnsi" w:cstheme="majorHAnsi"/>
          <w:color w:val="231F20"/>
        </w:rPr>
      </w:pPr>
      <w:r w:rsidRPr="00C969D8">
        <w:rPr>
          <w:rFonts w:asciiTheme="majorHAnsi" w:eastAsia="Times New Roman" w:hAnsiTheme="majorHAnsi" w:cstheme="majorHAnsi"/>
          <w:b/>
        </w:rPr>
        <w:t xml:space="preserve">Przedmiot </w:t>
      </w:r>
      <w:r w:rsidR="00BA6BE3">
        <w:rPr>
          <w:rFonts w:asciiTheme="majorHAnsi" w:eastAsia="Times New Roman" w:hAnsiTheme="majorHAnsi" w:cstheme="majorHAnsi"/>
          <w:b/>
        </w:rPr>
        <w:t xml:space="preserve">dostawy </w:t>
      </w:r>
      <w:r w:rsidRPr="00C969D8">
        <w:rPr>
          <w:rFonts w:asciiTheme="majorHAnsi" w:eastAsia="Times New Roman" w:hAnsiTheme="majorHAnsi" w:cstheme="majorHAnsi"/>
          <w:b/>
        </w:rPr>
        <w:t xml:space="preserve">:  </w:t>
      </w:r>
    </w:p>
    <w:p w:rsidR="00C969D8" w:rsidRPr="00C969D8" w:rsidRDefault="00C969D8" w:rsidP="00C969D8">
      <w:pPr>
        <w:tabs>
          <w:tab w:val="left" w:pos="284"/>
        </w:tabs>
        <w:spacing w:after="0" w:line="240" w:lineRule="auto"/>
        <w:jc w:val="both"/>
        <w:rPr>
          <w:rFonts w:asciiTheme="majorHAnsi" w:eastAsiaTheme="minorHAnsi" w:hAnsiTheme="majorHAnsi" w:cstheme="majorHAnsi"/>
          <w:color w:val="231F20"/>
        </w:rPr>
      </w:pP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1. Zamówienie obejmuje świadczenie kompleksowej dostawy paliwa gazowego w postaci gazu ziemnego wysokometanowego E, obejmującej sprzedaż oraz dystrybucję.</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2. Celem zamówienia jest uzyskanie jak najkorzystniejszych stałych jednostkowych cen za paliwo gazowe dla grupy  taryfowej W5 .</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 xml:space="preserve">3 W trakcie obowiązywania umowy Zamawiający będzie rozliczany na podstawie stawek i opłat określonych w ofercie Wykonawcy. Cena podana w ofercie winna obejmować wszystkie koszty i składniki związane z wykonaniem zamówienia oraz warunkami stawianymi przez Zamawiającego [za paliwo gazowe, opłatę handlową, opłatę stałą i zmienną, opłaty, podatki (w tym: podatek od towarów i usług VAT) z uwzględnieniem ewentualnych upustów i rabatów w odniesieniu do cen zawartych w taryfie]. </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4. W ramach zamówienia Wykonawca zobowiązany jest zapewnić dostawę paliwa gazowego do punktu poboru określonych w ust. 23 oraz innych nie wymienionych, których potrzeba zasilenia wyniknie w okresie obowiązywania umowy.</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 xml:space="preserve"> 5. Kompleksowa dostawa paliwa gazowego odbywać się będzie na warunkach określonych w ustawie z dnia 10 kwietnia 1997 r. Prawo energetyczne (</w:t>
      </w:r>
      <w:proofErr w:type="spellStart"/>
      <w:r w:rsidRPr="00C969D8">
        <w:rPr>
          <w:rFonts w:asciiTheme="majorHAnsi" w:hAnsiTheme="majorHAnsi" w:cstheme="majorHAnsi"/>
        </w:rPr>
        <w:t>t.j</w:t>
      </w:r>
      <w:proofErr w:type="spellEnd"/>
      <w:r w:rsidRPr="00C969D8">
        <w:rPr>
          <w:rFonts w:asciiTheme="majorHAnsi" w:hAnsiTheme="majorHAnsi" w:cstheme="majorHAnsi"/>
        </w:rPr>
        <w:t>. Dz. U. z 2024 r. poz. 266, 834, 859) oraz przepisów wykonawczych do tej ustawy, przepisami ustawy z dnia 23 kwietnia 1964 r. Kodeks cywilny (</w:t>
      </w:r>
      <w:proofErr w:type="spellStart"/>
      <w:r w:rsidRPr="00C969D8">
        <w:rPr>
          <w:rFonts w:asciiTheme="majorHAnsi" w:hAnsiTheme="majorHAnsi" w:cstheme="majorHAnsi"/>
        </w:rPr>
        <w:t>t.j</w:t>
      </w:r>
      <w:proofErr w:type="spellEnd"/>
      <w:r w:rsidRPr="00C969D8">
        <w:rPr>
          <w:rFonts w:asciiTheme="majorHAnsi" w:hAnsiTheme="majorHAnsi" w:cstheme="majorHAnsi"/>
        </w:rPr>
        <w:t>. Dz. U. z 2024 r. poz. 1061, 1237) oraz zgodnie z postanowieniami umowy.</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6. Wykonawca potwierdza spełnianie warunku kompleksowej dostawy paliwa gazowego poprzez posiadanie aktualnej koncesji na prowadzenie działalności gospodarczej w zakresie:</w:t>
      </w:r>
    </w:p>
    <w:p w:rsidR="00C969D8" w:rsidRPr="00C969D8" w:rsidRDefault="00C969D8" w:rsidP="00C969D8">
      <w:pPr>
        <w:suppressAutoHyphens w:val="0"/>
        <w:autoSpaceDE w:val="0"/>
        <w:autoSpaceDN w:val="0"/>
        <w:adjustRightInd w:val="0"/>
        <w:spacing w:after="120" w:line="23" w:lineRule="atLeast"/>
        <w:ind w:left="567"/>
        <w:rPr>
          <w:rFonts w:asciiTheme="majorHAnsi" w:hAnsiTheme="majorHAnsi" w:cstheme="majorHAnsi"/>
        </w:rPr>
      </w:pPr>
      <w:r w:rsidRPr="00C969D8">
        <w:rPr>
          <w:rFonts w:asciiTheme="majorHAnsi" w:hAnsiTheme="majorHAnsi" w:cstheme="majorHAnsi"/>
        </w:rPr>
        <w:t>1) obrotu (sprzedaży) gazem ziemnym (wysokometanowym E) wydaną przez Prezesa Urzędu Regulacji Energetyki;</w:t>
      </w:r>
    </w:p>
    <w:p w:rsidR="00C969D8" w:rsidRPr="00C969D8" w:rsidRDefault="00C969D8" w:rsidP="00C969D8">
      <w:pPr>
        <w:suppressAutoHyphens w:val="0"/>
        <w:autoSpaceDE w:val="0"/>
        <w:autoSpaceDN w:val="0"/>
        <w:adjustRightInd w:val="0"/>
        <w:spacing w:after="120" w:line="23" w:lineRule="atLeast"/>
        <w:ind w:left="567"/>
        <w:rPr>
          <w:rFonts w:asciiTheme="majorHAnsi" w:hAnsiTheme="majorHAnsi" w:cstheme="majorHAnsi"/>
        </w:rPr>
      </w:pPr>
      <w:r w:rsidRPr="00C969D8">
        <w:rPr>
          <w:rFonts w:asciiTheme="majorHAnsi" w:hAnsiTheme="majorHAnsi" w:cstheme="majorHAnsi"/>
        </w:rPr>
        <w:lastRenderedPageBreak/>
        <w:t>2) dystrybucji gazu ziemnego wydaną przez Prezesa Urzędu Regulacji Energetyki - w przypadku Wykonawców będących właścicielami sieci dystrybucyjnej; albo posiadanie aktualnej podpisanej umowy generalnej z Operatorem Systemu Dystrybucyjnego (OSD), tj. Polską Spółką Gazownictwa Sp. z o. o. z siedzibą w Warszawie, ul. Krucza 6/14, na świadczenie usług dystrybucji gazu ziemnego, w przypadku Wykonawców niebędących właścicielami sieci dystrybucyjnej.</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7. Sprzedane paliwo gazowe powinno spełniać parametry jakościowe i techniczne zgodnie z zapisami ustawy Prawo energetyczne oraz rozporządzeniami wykonawczymi do tej ustawy, w szczególności z Rozporządzeniem Ministra Gospodarki z dnia 2 lipca 2010 r. w sprawie szczegółowych warunków funkcjonowania systemu gazowego (</w:t>
      </w:r>
      <w:proofErr w:type="spellStart"/>
      <w:r w:rsidRPr="00C969D8">
        <w:rPr>
          <w:rFonts w:asciiTheme="majorHAnsi" w:hAnsiTheme="majorHAnsi" w:cstheme="majorHAnsi"/>
        </w:rPr>
        <w:t>t.j</w:t>
      </w:r>
      <w:proofErr w:type="spellEnd"/>
      <w:r w:rsidRPr="00C969D8">
        <w:rPr>
          <w:rFonts w:asciiTheme="majorHAnsi" w:hAnsiTheme="majorHAnsi" w:cstheme="majorHAnsi"/>
        </w:rPr>
        <w:t>. Dz. U. z 2018 r. poz. 1158) oraz Rozporządzeniem Ministra Klimatu i Środowiska z dnia 28 marca 2024 r. zmieniające rozporządzenie w sprawie szczegółowych warunków funkcjonowania systemu gazowego (Dz. U. 2024 poz. 517).</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8.Za jakość paliwa gazowego (parametry jakościowe) odpowiada Wykonawca w porozumieniu z Operatorem Systemu Dystrybucyjnego (OSD) – zgodnie z § 30 Rozporządzenia Ministra Gospodarki z dnia 2 lipca 2010 r. w sprawie szczegółowych warunków funkcjonowania systemu gazowego (</w:t>
      </w:r>
      <w:proofErr w:type="spellStart"/>
      <w:r w:rsidRPr="00C969D8">
        <w:rPr>
          <w:rFonts w:asciiTheme="majorHAnsi" w:hAnsiTheme="majorHAnsi" w:cstheme="majorHAnsi"/>
        </w:rPr>
        <w:t>t.j</w:t>
      </w:r>
      <w:proofErr w:type="spellEnd"/>
      <w:r w:rsidRPr="00C969D8">
        <w:rPr>
          <w:rFonts w:asciiTheme="majorHAnsi" w:hAnsiTheme="majorHAnsi" w:cstheme="majorHAnsi"/>
        </w:rPr>
        <w:t>. Dz. U. z 2018 r. poz. 1158) oraz Rozporządzeniem Ministra Klimatu i Środowiska z dnia 28 marca 2024 r. zmieniające rozporządzenie w sprawie szczegółowych warunków funkcjonowania systemu gazowego (Dz. U. 2024 poz. 517).</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9.Wybrany Wykonawca będzie zobowiązany do dokonania wszelkich czynności i uzgodnień z OSD niezbędnych do przeprowadzenia procedury zmiany sprzedawcy, w tym do złożenia do OSD  w imieniu własnym i Zamawiającego – jako odbiorcy paliwa gazowego – zgłoszenia o zawarciu umowy kompleksowej między Zamawiającym, a Wykonawcą oraz zawiadomienia o zmianie sprzedawcy, oraz reprezentowania Zamawiającego przed OSD w procesie zmiany sprzedawcy lub sprzedawcy i dystrybutora.</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10.Kompleksowa umowa dostawy paliwa gazowego będzie realizowane nie wcześniej niż przed 01.01.2025 r.</w:t>
      </w:r>
      <w:r w:rsidRPr="00C969D8">
        <w:rPr>
          <w:rFonts w:asciiTheme="majorHAnsi" w:hAnsiTheme="majorHAnsi" w:cstheme="majorHAnsi"/>
          <w:b/>
        </w:rPr>
        <w:t xml:space="preserve"> </w:t>
      </w:r>
      <w:r w:rsidRPr="00C969D8">
        <w:rPr>
          <w:rFonts w:asciiTheme="majorHAnsi" w:hAnsiTheme="majorHAnsi" w:cstheme="majorHAnsi"/>
        </w:rPr>
        <w:t>przez okres 12 miesięcy.</w:t>
      </w:r>
      <w:r w:rsidRPr="00C969D8">
        <w:rPr>
          <w:rFonts w:asciiTheme="majorHAnsi" w:hAnsiTheme="majorHAnsi" w:cstheme="majorHAnsi"/>
          <w:b/>
        </w:rPr>
        <w:t xml:space="preserve"> </w:t>
      </w:r>
      <w:r w:rsidRPr="00C969D8">
        <w:rPr>
          <w:rFonts w:asciiTheme="majorHAnsi" w:hAnsiTheme="majorHAnsi" w:cstheme="majorHAnsi"/>
        </w:rPr>
        <w:t xml:space="preserve"> i nie wcześniej niż po skutecznie przeprowadzonej procedurze zmiany sprzedawcy paliwa gazowego, z zachowaniem  terminów wynikających z Instrukcji Ruchu i Eksploatacji Sieci Dystrybucyjnej PSG Sp. z o.o</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rPr>
        <w:t>11.W przypadku niedotrzymania standardów jakościowych obsługi oraz niedotrzymanie parametrów jakościowych paliw gazowych Zamawiającemu przysługuje prawo bonifikaty udzielanej zgodnie z Rozporządzeniem Ministra Energii z dnia 15 marca 2018 r. w sprawie szczegółowych zasad kształtowania i kalkulacji taryf oraz rozliczeń w obrocie paliwami gazowymi (</w:t>
      </w:r>
      <w:proofErr w:type="spellStart"/>
      <w:r w:rsidRPr="00C969D8">
        <w:rPr>
          <w:rFonts w:asciiTheme="majorHAnsi" w:hAnsiTheme="majorHAnsi" w:cstheme="majorHAnsi"/>
        </w:rPr>
        <w:t>t.j</w:t>
      </w:r>
      <w:proofErr w:type="spellEnd"/>
      <w:r w:rsidRPr="00C969D8">
        <w:rPr>
          <w:rFonts w:asciiTheme="majorHAnsi" w:hAnsiTheme="majorHAnsi" w:cstheme="majorHAnsi"/>
        </w:rPr>
        <w:t xml:space="preserve">. Dz. U. z 2021 r. poz. 280 z </w:t>
      </w:r>
      <w:proofErr w:type="spellStart"/>
      <w:r w:rsidRPr="00C969D8">
        <w:rPr>
          <w:rFonts w:asciiTheme="majorHAnsi" w:hAnsiTheme="majorHAnsi" w:cstheme="majorHAnsi"/>
        </w:rPr>
        <w:t>późn</w:t>
      </w:r>
      <w:proofErr w:type="spellEnd"/>
      <w:r w:rsidRPr="00C969D8">
        <w:rPr>
          <w:rFonts w:asciiTheme="majorHAnsi" w:hAnsiTheme="majorHAnsi" w:cstheme="majorHAnsi"/>
        </w:rPr>
        <w:t>. zm.) oraz Rozporządzenia Ministra Klimatu i środowiska z dnia 23 listopada 2023 r. zmieniające rozporządzenie w sprawie szczegółowych zasad kształtowania i kalkulacji taryf oraz rozliczeń w obrocie paliwami gazowymi (Dz. U. 2023 poz. 2582) lub w każdym później wydanym akcie prawnym określającym te stawki.</w:t>
      </w:r>
    </w:p>
    <w:p w:rsidR="00C969D8" w:rsidRPr="00C969D8" w:rsidRDefault="00C969D8" w:rsidP="00C969D8">
      <w:pPr>
        <w:suppressAutoHyphens w:val="0"/>
        <w:autoSpaceDE w:val="0"/>
        <w:autoSpaceDN w:val="0"/>
        <w:adjustRightInd w:val="0"/>
        <w:spacing w:after="120"/>
        <w:rPr>
          <w:rFonts w:asciiTheme="majorHAnsi" w:hAnsiTheme="majorHAnsi" w:cstheme="majorHAnsi"/>
        </w:rPr>
      </w:pPr>
      <w:r w:rsidRPr="00C969D8">
        <w:rPr>
          <w:rFonts w:asciiTheme="majorHAnsi" w:hAnsiTheme="majorHAnsi" w:cstheme="majorHAnsi"/>
        </w:rPr>
        <w:t xml:space="preserve">12.Przewidywana ilość poboru paliwa gazowego w okresie objętym dostawą tj. 12 miesięcy jednak nie wcześniej niż od 01.01.2025 r., wynosi ogółem: </w:t>
      </w:r>
      <w:r w:rsidRPr="00C969D8">
        <w:rPr>
          <w:rFonts w:asciiTheme="majorHAnsi" w:hAnsiTheme="majorHAnsi" w:cstheme="majorHAnsi"/>
          <w:b/>
        </w:rPr>
        <w:t>808.290</w:t>
      </w:r>
      <w:r w:rsidRPr="00C969D8">
        <w:rPr>
          <w:rFonts w:asciiTheme="majorHAnsi" w:hAnsiTheme="majorHAnsi" w:cstheme="majorHAnsi"/>
        </w:rPr>
        <w:t xml:space="preserve">  </w:t>
      </w:r>
      <w:r w:rsidRPr="00C969D8">
        <w:rPr>
          <w:rFonts w:asciiTheme="majorHAnsi" w:hAnsiTheme="majorHAnsi" w:cstheme="majorHAnsi"/>
          <w:b/>
        </w:rPr>
        <w:t>kWh</w:t>
      </w:r>
      <w:r w:rsidRPr="00C969D8">
        <w:rPr>
          <w:rFonts w:asciiTheme="majorHAnsi" w:hAnsiTheme="majorHAnsi" w:cstheme="majorHAnsi"/>
        </w:rPr>
        <w:t xml:space="preserve">. Rozpoczęcie dostaw nastąpi nie wcześniej niż po skutecznym wypowiedzeniu obecnie obowiązujących umów kompleksowych na sprzedaż paliwa gazowego z obecnym Sprzedawcą. Przewidywane zużycie paliwa gazowego ma charakter szacunkowy oraz służy do porównania ofert. Zamawiający przewiduje, iż rzeczywista ilość zużycia paliwa gazowego może ulec zmianie, tj. zwiększeniu bądź zmniejszeniu przy zachowaniu zaoferowanych cen jednostkowych. </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rPr>
      </w:pPr>
      <w:r w:rsidRPr="00C969D8">
        <w:rPr>
          <w:rFonts w:asciiTheme="majorHAnsi" w:hAnsiTheme="majorHAnsi" w:cstheme="majorHAnsi"/>
          <w:color w:val="000000"/>
        </w:rPr>
        <w:t xml:space="preserve">13.Powyższa wartość wolumenu paliwa gazowego jest wartością szacowaną i może ulec zmianie. W przypadku różnicy między zużyciem planowanym a faktycznym Wykonawca nie będzie z tego tytułu dochodził roszczeń finansowych innych niż te wynikające z ilości zużytego paliwa gazowego. </w:t>
      </w:r>
      <w:r w:rsidRPr="00C969D8">
        <w:rPr>
          <w:rFonts w:asciiTheme="majorHAnsi" w:hAnsiTheme="majorHAnsi" w:cstheme="majorHAnsi"/>
        </w:rPr>
        <w:lastRenderedPageBreak/>
        <w:t>Zamawiający informuje, że minimalne zużycie gazu wynosi 85 % przewidywanego zużycia gazu o którym mowa w zdaniu pierwszym, natomiast maksymalne zużycie gazu nie przekroczy 110 % przewidywanego zużycia gazu o którym mowa w zdaniu pierwszym ust. 13.</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color w:val="000000"/>
        </w:rPr>
      </w:pPr>
      <w:r w:rsidRPr="00C969D8">
        <w:rPr>
          <w:rFonts w:asciiTheme="majorHAnsi" w:hAnsiTheme="majorHAnsi" w:cstheme="majorHAnsi"/>
          <w:color w:val="000000"/>
        </w:rPr>
        <w:t>14.Określenie przewidywanego zużycia paliwa gazowego służyć będzie do wyboru najkorzystniejszej oferty i nie stanowi ze strony Zamawiającego zobowiązania ani przyrzeczenia handlowego.</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color w:val="000000"/>
        </w:rPr>
      </w:pPr>
      <w:r w:rsidRPr="00C969D8">
        <w:rPr>
          <w:rFonts w:asciiTheme="majorHAnsi" w:hAnsiTheme="majorHAnsi" w:cstheme="majorHAnsi"/>
          <w:color w:val="000000"/>
        </w:rPr>
        <w:t>15.Paliwo gazowe pobrane przez Zamawiającego będzie rozliczane na podstawie cen jednostkowych za kWh dla każdej grupy taryfowej podanej w ofercie.</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color w:val="000000"/>
        </w:rPr>
      </w:pPr>
      <w:r w:rsidRPr="00C969D8">
        <w:rPr>
          <w:rFonts w:asciiTheme="majorHAnsi" w:hAnsiTheme="majorHAnsi" w:cstheme="majorHAnsi"/>
          <w:color w:val="000000"/>
        </w:rPr>
        <w:t>16.Dla każdego punktu poboru paliwa gazowego w danej grupie taryfowej Wykonawca poda stawkę miesięczną opłaty handlowej. W przypadku nienaliczania opłaty handlowej należy wpisać zero.</w:t>
      </w:r>
      <w:r w:rsidRPr="00C969D8">
        <w:rPr>
          <w:rFonts w:asciiTheme="majorHAnsi" w:hAnsiTheme="majorHAnsi" w:cstheme="majorHAnsi"/>
          <w:color w:val="000000"/>
        </w:rPr>
        <w:cr/>
        <w:t>17.Rozliczenia za dostarczone paliwo gazowe odbywać się będą na podstawie odczytów wskazań układu pomiarowo-rozliczeniowego. Okres rozliczeniowy (w zakresie zarówno sprzedaży, jak i dystrybucji gazu) wynosi 1 miesiąc na podstawie odczytu rzeczywistego wskazań układu pomiarowego lub zgodnie z okresem rozliczeniowym OSD dla danej taryfy, według cen określonych w ofercie Wykonawcy. Tym samym Zamawiający nie dopuszcza otrzymywania faktur wstępnych, na podstawie prognozowanego zużycia gazu. Zamawiający będzie uiszczał opłaty za dostawę gazu na podstawie faktycznie pobranej ilości gazu w okresie rozliczeniowym. Wykonawca każdorazowo będzie przesyłał wystawioną fakturę VAT za pośrednictwem operatora pocztowego na adres Zamawiającego niezwłocznie po jej wystawieniu.</w:t>
      </w:r>
    </w:p>
    <w:p w:rsidR="00C969D8" w:rsidRPr="00C969D8" w:rsidRDefault="00C969D8" w:rsidP="00C969D8">
      <w:pPr>
        <w:suppressAutoHyphens w:val="0"/>
        <w:autoSpaceDE w:val="0"/>
        <w:autoSpaceDN w:val="0"/>
        <w:adjustRightInd w:val="0"/>
        <w:spacing w:after="120" w:line="23" w:lineRule="atLeast"/>
        <w:jc w:val="both"/>
        <w:rPr>
          <w:rFonts w:asciiTheme="majorHAnsi" w:hAnsiTheme="majorHAnsi" w:cstheme="majorHAnsi"/>
          <w:color w:val="000000"/>
        </w:rPr>
      </w:pPr>
      <w:r w:rsidRPr="00C969D8">
        <w:rPr>
          <w:rFonts w:asciiTheme="majorHAnsi" w:hAnsiTheme="majorHAnsi" w:cstheme="majorHAnsi"/>
          <w:color w:val="000000"/>
        </w:rPr>
        <w:t>18. Stawki opłat dystrybucyjnych muszą być zgodne z aktualną taryfą lokalnego OSD i w trakcie realizacji zamówienia mogą ulegać zmianie, jeżeli zmianie ulegnie taryfa lokalnego OSD. Na potrzeby przeprowadzenia niniejszego postępowania i porównania ofert Wykonawcy w kalkulacji oferty przyjmą wskazane wartości stawek dla całego okresu realizacji zamówienia.</w:t>
      </w:r>
    </w:p>
    <w:p w:rsidR="00C969D8" w:rsidRPr="00C969D8" w:rsidRDefault="00C969D8" w:rsidP="00C969D8">
      <w:pPr>
        <w:pStyle w:val="Akapitzlist"/>
        <w:ind w:left="0"/>
        <w:jc w:val="both"/>
        <w:rPr>
          <w:rFonts w:asciiTheme="majorHAnsi" w:hAnsiTheme="majorHAnsi" w:cstheme="majorHAnsi"/>
          <w:color w:val="000000"/>
          <w:lang w:eastAsia="pl-PL"/>
        </w:rPr>
      </w:pPr>
      <w:r w:rsidRPr="00C969D8">
        <w:rPr>
          <w:rFonts w:asciiTheme="majorHAnsi" w:hAnsiTheme="majorHAnsi" w:cstheme="majorHAnsi"/>
          <w:color w:val="000000"/>
          <w:lang w:eastAsia="pl-PL"/>
        </w:rPr>
        <w:t>Zamawiający dopuszcza zawarcie umowy na wszystkie punkty poboru na warunkach określonych w SWZ. Rozliczenia będą się odbywać na podstawie bieżących wskazań układów pomiarowych każdego punktu poboru i będą osobno fakturowane. Termin płatności faktur: 14 dni licząc od daty otrzymania faktury.</w:t>
      </w:r>
    </w:p>
    <w:p w:rsidR="00C969D8" w:rsidRPr="00C969D8" w:rsidRDefault="00C969D8" w:rsidP="00C969D8">
      <w:pPr>
        <w:pStyle w:val="Akapitzlist"/>
        <w:numPr>
          <w:ilvl w:val="0"/>
          <w:numId w:val="5"/>
        </w:numPr>
        <w:suppressAutoHyphens w:val="0"/>
        <w:autoSpaceDE w:val="0"/>
        <w:autoSpaceDN w:val="0"/>
        <w:adjustRightInd w:val="0"/>
        <w:spacing w:after="120" w:line="23" w:lineRule="atLeast"/>
        <w:contextualSpacing w:val="0"/>
        <w:jc w:val="both"/>
        <w:rPr>
          <w:rFonts w:asciiTheme="majorHAnsi" w:hAnsiTheme="majorHAnsi" w:cstheme="majorHAnsi"/>
          <w:color w:val="000000"/>
          <w:lang w:eastAsia="pl-PL"/>
        </w:rPr>
      </w:pPr>
      <w:r w:rsidRPr="00C969D8">
        <w:rPr>
          <w:rFonts w:asciiTheme="majorHAnsi" w:hAnsiTheme="majorHAnsi" w:cstheme="majorHAnsi"/>
          <w:color w:val="000000"/>
          <w:lang w:eastAsia="pl-PL"/>
        </w:rPr>
        <w:t xml:space="preserve">Zamawiający podłączony jest do sieci dystrybucyjnej należącej do Operatora Systemu Dystrybucyjnego: Polska Spółka Gazownictwa Spółka z o.o. w Warszawie. </w:t>
      </w:r>
    </w:p>
    <w:p w:rsidR="00C969D8" w:rsidRPr="00C969D8" w:rsidRDefault="00C969D8" w:rsidP="00C969D8">
      <w:pPr>
        <w:pStyle w:val="Akapitzlist"/>
        <w:numPr>
          <w:ilvl w:val="0"/>
          <w:numId w:val="5"/>
        </w:numPr>
        <w:suppressAutoHyphens w:val="0"/>
        <w:autoSpaceDE w:val="0"/>
        <w:autoSpaceDN w:val="0"/>
        <w:adjustRightInd w:val="0"/>
        <w:spacing w:after="120" w:line="23" w:lineRule="atLeast"/>
        <w:jc w:val="both"/>
        <w:rPr>
          <w:rFonts w:asciiTheme="majorHAnsi" w:hAnsiTheme="majorHAnsi" w:cstheme="majorHAnsi"/>
          <w:color w:val="000000"/>
        </w:rPr>
      </w:pPr>
      <w:r w:rsidRPr="00C969D8">
        <w:rPr>
          <w:rFonts w:asciiTheme="majorHAnsi" w:hAnsiTheme="majorHAnsi" w:cstheme="majorHAnsi"/>
          <w:color w:val="000000"/>
        </w:rPr>
        <w:t>Warunkiem Kompleksowej dostawy gazu ziemnego do sieci Muzeum Wnętrz w Otwocku Wielkim , Oddział Muzeum Narodowego  jest  dokument potwierdzający spełnienie warunku posiadania aktualnej koncesji w zakresie obrotu gazem ziemnym wydanym przez Prezesa Urzędu Regulacji Energetyki oraz umowy z Operatorem systemu Dystrybucyjnego na świadczenie usług dystrybucji paliwa gazowego.</w:t>
      </w:r>
    </w:p>
    <w:p w:rsidR="00C969D8" w:rsidRPr="00C969D8" w:rsidRDefault="00C969D8" w:rsidP="00C969D8">
      <w:pPr>
        <w:pStyle w:val="Tretekstu"/>
        <w:numPr>
          <w:ilvl w:val="0"/>
          <w:numId w:val="5"/>
        </w:numPr>
        <w:spacing w:after="0" w:line="23" w:lineRule="atLeast"/>
        <w:ind w:left="284" w:hanging="284"/>
        <w:rPr>
          <w:rFonts w:asciiTheme="majorHAnsi" w:hAnsiTheme="majorHAnsi" w:cstheme="majorHAnsi"/>
          <w:b/>
          <w:sz w:val="22"/>
          <w:szCs w:val="22"/>
        </w:rPr>
      </w:pPr>
      <w:r w:rsidRPr="00C969D8">
        <w:rPr>
          <w:rFonts w:asciiTheme="majorHAnsi" w:hAnsiTheme="majorHAnsi" w:cstheme="majorHAnsi"/>
          <w:sz w:val="22"/>
          <w:szCs w:val="22"/>
        </w:rPr>
        <w:t xml:space="preserve">Przedmiot zamówienia obejmuje dostawę paliwa gazowego do punktu odbioru  - </w:t>
      </w:r>
    </w:p>
    <w:p w:rsidR="00C969D8" w:rsidRPr="00C969D8" w:rsidRDefault="00C969D8" w:rsidP="00C969D8">
      <w:pPr>
        <w:pStyle w:val="Tretekstu"/>
        <w:spacing w:line="23" w:lineRule="atLeast"/>
        <w:rPr>
          <w:rFonts w:asciiTheme="majorHAnsi" w:eastAsia="TimesNewRomanPSMT;Times New Rom" w:hAnsiTheme="majorHAnsi" w:cstheme="majorHAnsi"/>
          <w:color w:val="000000"/>
          <w:sz w:val="22"/>
          <w:szCs w:val="22"/>
        </w:rPr>
      </w:pPr>
      <w:r w:rsidRPr="00C969D8">
        <w:rPr>
          <w:rFonts w:asciiTheme="majorHAnsi" w:eastAsia="TimesNewRomanPSMT;Times New Rom" w:hAnsiTheme="majorHAnsi" w:cstheme="majorHAnsi"/>
          <w:color w:val="000000"/>
          <w:sz w:val="22"/>
          <w:szCs w:val="22"/>
        </w:rPr>
        <w:t xml:space="preserve">Stacji gazowej typu SP …….zlokalizowanej na terenie Muzeum Wnętrz w Otwocku Wielkim  </w:t>
      </w:r>
      <w:r w:rsidR="00BA6BE3">
        <w:rPr>
          <w:rFonts w:asciiTheme="majorHAnsi" w:eastAsia="TimesNewRomanPSMT;Times New Rom" w:hAnsiTheme="majorHAnsi" w:cstheme="majorHAnsi"/>
          <w:color w:val="000000"/>
          <w:sz w:val="22"/>
          <w:szCs w:val="22"/>
        </w:rPr>
        <w:t xml:space="preserve">                        </w:t>
      </w:r>
      <w:r w:rsidRPr="00C969D8">
        <w:rPr>
          <w:rFonts w:asciiTheme="majorHAnsi" w:eastAsia="TimesNewRomanPSMT;Times New Rom" w:hAnsiTheme="majorHAnsi" w:cstheme="majorHAnsi"/>
          <w:color w:val="000000"/>
          <w:sz w:val="22"/>
          <w:szCs w:val="22"/>
        </w:rPr>
        <w:t xml:space="preserve"> ul. Zamkowej 49 , która jest zakwalifikowana według aktualnej umowy do grupy taryfowej W 5 moc  umowna  wynosi 25 m'/h.  (łącznie dwóch  kotłów </w:t>
      </w:r>
      <w:proofErr w:type="spellStart"/>
      <w:r w:rsidRPr="00C969D8">
        <w:rPr>
          <w:rFonts w:asciiTheme="majorHAnsi" w:eastAsia="TimesNewRomanPSMT;Times New Rom" w:hAnsiTheme="majorHAnsi" w:cstheme="majorHAnsi"/>
          <w:color w:val="000000"/>
          <w:sz w:val="22"/>
          <w:szCs w:val="22"/>
        </w:rPr>
        <w:t>Buderus</w:t>
      </w:r>
      <w:proofErr w:type="spellEnd"/>
      <w:r w:rsidRPr="00C969D8">
        <w:rPr>
          <w:rFonts w:asciiTheme="majorHAnsi" w:eastAsia="TimesNewRomanPSMT;Times New Rom" w:hAnsiTheme="majorHAnsi" w:cstheme="majorHAnsi"/>
          <w:color w:val="000000"/>
          <w:sz w:val="22"/>
          <w:szCs w:val="22"/>
        </w:rPr>
        <w:t xml:space="preserve">  o mocy 480  kW) z wykorzystaniem na ogrzewanie Pałacu i inne obiekty Muzeum. </w:t>
      </w:r>
    </w:p>
    <w:p w:rsidR="00C969D8" w:rsidRPr="00C969D8" w:rsidRDefault="00C969D8" w:rsidP="00C969D8">
      <w:pPr>
        <w:suppressAutoHyphens w:val="0"/>
        <w:autoSpaceDE w:val="0"/>
        <w:autoSpaceDN w:val="0"/>
        <w:adjustRightInd w:val="0"/>
        <w:spacing w:after="120" w:line="23" w:lineRule="atLeast"/>
        <w:rPr>
          <w:rFonts w:asciiTheme="majorHAnsi" w:hAnsiTheme="majorHAnsi" w:cstheme="majorHAnsi"/>
          <w:color w:val="000000"/>
        </w:rPr>
      </w:pPr>
    </w:p>
    <w:p w:rsidR="00C969D8" w:rsidRPr="00C969D8" w:rsidRDefault="00C969D8" w:rsidP="00C969D8">
      <w:pPr>
        <w:pStyle w:val="Tretekstu"/>
        <w:numPr>
          <w:ilvl w:val="0"/>
          <w:numId w:val="5"/>
        </w:numPr>
        <w:spacing w:after="0" w:line="23" w:lineRule="atLeast"/>
        <w:ind w:left="284" w:hanging="284"/>
        <w:rPr>
          <w:rFonts w:asciiTheme="majorHAnsi" w:eastAsia="TimesNewRomanPSMT;Times New Rom" w:hAnsiTheme="majorHAnsi" w:cstheme="majorHAnsi"/>
          <w:color w:val="000000"/>
          <w:sz w:val="22"/>
          <w:szCs w:val="22"/>
        </w:rPr>
      </w:pPr>
      <w:r w:rsidRPr="00C969D8">
        <w:rPr>
          <w:rFonts w:asciiTheme="majorHAnsi" w:eastAsia="TimesNewRomanPSMT;Times New Rom" w:hAnsiTheme="majorHAnsi" w:cstheme="majorHAnsi"/>
          <w:color w:val="000000"/>
          <w:sz w:val="22"/>
          <w:szCs w:val="22"/>
        </w:rPr>
        <w:t xml:space="preserve">  Punkt poboru wymieniony  zasilane jest  z magistrali gazowej średniego ciśnienia, niezależnymi przyłączami o ciśnieniu wlotowym max 0,5 </w:t>
      </w:r>
      <w:proofErr w:type="spellStart"/>
      <w:r w:rsidRPr="00C969D8">
        <w:rPr>
          <w:rFonts w:asciiTheme="majorHAnsi" w:eastAsia="TimesNewRomanPSMT;Times New Rom" w:hAnsiTheme="majorHAnsi" w:cstheme="majorHAnsi"/>
          <w:color w:val="000000"/>
          <w:sz w:val="22"/>
          <w:szCs w:val="22"/>
        </w:rPr>
        <w:t>MPa</w:t>
      </w:r>
      <w:proofErr w:type="spellEnd"/>
      <w:r w:rsidRPr="00C969D8">
        <w:rPr>
          <w:rFonts w:asciiTheme="majorHAnsi" w:eastAsia="TimesNewRomanPSMT;Times New Rom" w:hAnsiTheme="majorHAnsi" w:cstheme="majorHAnsi"/>
          <w:color w:val="000000"/>
          <w:sz w:val="22"/>
          <w:szCs w:val="22"/>
        </w:rPr>
        <w:t xml:space="preserve"> oraz ciśnieniu wylotowym min. 0,2 </w:t>
      </w:r>
      <w:proofErr w:type="spellStart"/>
      <w:r w:rsidRPr="00C969D8">
        <w:rPr>
          <w:rFonts w:asciiTheme="majorHAnsi" w:eastAsia="TimesNewRomanPSMT;Times New Rom" w:hAnsiTheme="majorHAnsi" w:cstheme="majorHAnsi"/>
          <w:color w:val="000000"/>
          <w:sz w:val="22"/>
          <w:szCs w:val="22"/>
        </w:rPr>
        <w:t>MPa</w:t>
      </w:r>
      <w:proofErr w:type="spellEnd"/>
      <w:r w:rsidRPr="00C969D8">
        <w:rPr>
          <w:rFonts w:asciiTheme="majorHAnsi" w:eastAsia="TimesNewRomanPSMT;Times New Rom" w:hAnsiTheme="majorHAnsi" w:cstheme="majorHAnsi"/>
          <w:color w:val="000000"/>
          <w:sz w:val="22"/>
          <w:szCs w:val="22"/>
        </w:rPr>
        <w:t>.</w:t>
      </w:r>
    </w:p>
    <w:p w:rsidR="00C969D8" w:rsidRPr="00C969D8" w:rsidRDefault="00C969D8" w:rsidP="00C969D8">
      <w:pPr>
        <w:pStyle w:val="Tretekstu"/>
        <w:numPr>
          <w:ilvl w:val="0"/>
          <w:numId w:val="5"/>
        </w:numPr>
        <w:spacing w:after="0" w:line="23" w:lineRule="atLeast"/>
        <w:ind w:left="284" w:hanging="284"/>
        <w:rPr>
          <w:rFonts w:asciiTheme="majorHAnsi" w:eastAsia="Calibri" w:hAnsiTheme="majorHAnsi" w:cstheme="majorHAnsi"/>
          <w:sz w:val="22"/>
          <w:szCs w:val="22"/>
        </w:rPr>
      </w:pPr>
      <w:r w:rsidRPr="00C969D8">
        <w:rPr>
          <w:rFonts w:asciiTheme="majorHAnsi" w:eastAsia="Calibri" w:hAnsiTheme="majorHAnsi" w:cstheme="majorHAnsi"/>
          <w:sz w:val="22"/>
          <w:szCs w:val="22"/>
        </w:rPr>
        <w:t>Dostawa paliwa gazowego i świadczenie usług dystrybucji odbywać się będzie na warunkach określonych w ustawie z dnia 10 kwietnia 1997 r. Prawo energetyczne (</w:t>
      </w:r>
      <w:proofErr w:type="spellStart"/>
      <w:r w:rsidRPr="00C969D8">
        <w:rPr>
          <w:rFonts w:asciiTheme="majorHAnsi" w:eastAsia="Calibri" w:hAnsiTheme="majorHAnsi" w:cstheme="majorHAnsi"/>
          <w:sz w:val="22"/>
          <w:szCs w:val="22"/>
          <w:lang w:bidi="en-US"/>
        </w:rPr>
        <w:t>t.j</w:t>
      </w:r>
      <w:proofErr w:type="spellEnd"/>
      <w:r w:rsidRPr="00C969D8">
        <w:rPr>
          <w:rFonts w:asciiTheme="majorHAnsi" w:eastAsia="Calibri" w:hAnsiTheme="majorHAnsi" w:cstheme="majorHAnsi"/>
          <w:sz w:val="22"/>
          <w:szCs w:val="22"/>
          <w:lang w:bidi="en-US"/>
        </w:rPr>
        <w:t xml:space="preserve">. Dz. U. z 2024 r. poz. 266 z </w:t>
      </w:r>
      <w:proofErr w:type="spellStart"/>
      <w:r w:rsidRPr="00C969D8">
        <w:rPr>
          <w:rFonts w:asciiTheme="majorHAnsi" w:eastAsia="Calibri" w:hAnsiTheme="majorHAnsi" w:cstheme="majorHAnsi"/>
          <w:sz w:val="22"/>
          <w:szCs w:val="22"/>
          <w:lang w:bidi="en-US"/>
        </w:rPr>
        <w:t>późn</w:t>
      </w:r>
      <w:proofErr w:type="spellEnd"/>
      <w:r w:rsidRPr="00C969D8">
        <w:rPr>
          <w:rFonts w:asciiTheme="majorHAnsi" w:eastAsia="Calibri" w:hAnsiTheme="majorHAnsi" w:cstheme="majorHAnsi"/>
          <w:sz w:val="22"/>
          <w:szCs w:val="22"/>
          <w:lang w:bidi="en-US"/>
        </w:rPr>
        <w:t>. zm.)</w:t>
      </w:r>
      <w:r w:rsidRPr="00C969D8">
        <w:rPr>
          <w:rFonts w:asciiTheme="majorHAnsi" w:eastAsia="Calibri" w:hAnsiTheme="majorHAnsi" w:cstheme="majorHAnsi"/>
          <w:sz w:val="22"/>
          <w:szCs w:val="22"/>
        </w:rPr>
        <w:t xml:space="preserve"> oraz </w:t>
      </w:r>
      <w:r w:rsidRPr="00C969D8">
        <w:rPr>
          <w:rFonts w:asciiTheme="majorHAnsi" w:hAnsiTheme="majorHAnsi" w:cstheme="majorHAnsi"/>
          <w:sz w:val="22"/>
          <w:szCs w:val="22"/>
        </w:rPr>
        <w:t>ustawy z dnia 26 stycznia 2022 r. o szczególnych rozwiązaniach służących ochronie odbiorców paliw gazowych w związku z sytuacją na rynku gazu (Dz.U. z 2022 poz. 202)</w:t>
      </w:r>
      <w:r w:rsidRPr="00C969D8">
        <w:rPr>
          <w:rFonts w:asciiTheme="majorHAnsi" w:hAnsiTheme="majorHAnsi" w:cstheme="majorHAnsi"/>
          <w:b/>
          <w:sz w:val="22"/>
          <w:szCs w:val="22"/>
        </w:rPr>
        <w:t xml:space="preserve"> </w:t>
      </w:r>
      <w:r w:rsidRPr="00C969D8">
        <w:rPr>
          <w:rFonts w:asciiTheme="majorHAnsi" w:eastAsia="Calibri" w:hAnsiTheme="majorHAnsi" w:cstheme="majorHAnsi"/>
          <w:sz w:val="22"/>
          <w:szCs w:val="22"/>
        </w:rPr>
        <w:t xml:space="preserve">przepisach wykonawczych do tej ustawy oraz ogólnie obowiązujących przepisach prawnych.  Zasady funkcjonowania systemu gazowego zostały określone w Obwieszczeniu Ministra Energetyki </w:t>
      </w:r>
      <w:r w:rsidRPr="00C969D8">
        <w:rPr>
          <w:rFonts w:asciiTheme="majorHAnsi" w:eastAsia="Calibri" w:hAnsiTheme="majorHAnsi" w:cstheme="majorHAnsi"/>
          <w:sz w:val="22"/>
          <w:szCs w:val="22"/>
        </w:rPr>
        <w:lastRenderedPageBreak/>
        <w:t xml:space="preserve">z dnia 16 maja 2018 r. w sprawie ogłoszenia jednolitego tekstu Rozporządzenia Ministra Gospodarki  w sprawie szczegółowych warunków funkcjonowania systemu gazowego (Dz. U. 2018 poz. 1158) </w:t>
      </w:r>
      <w:r w:rsidRPr="00C969D8">
        <w:rPr>
          <w:rFonts w:asciiTheme="majorHAnsi" w:hAnsiTheme="majorHAnsi" w:cstheme="majorHAnsi"/>
          <w:sz w:val="22"/>
          <w:szCs w:val="22"/>
        </w:rPr>
        <w:t>oraz Rozporządzeniem Ministra Klimatu i Środowiska z dnia 28 marca 2024 r. zmieniające Rozporządzenie w sprawie szczegółowych warunków funkcjonowania systemu gazowego (Dz. U. 2024 poz. 517)</w:t>
      </w:r>
      <w:r w:rsidRPr="00C969D8">
        <w:rPr>
          <w:rFonts w:asciiTheme="majorHAnsi" w:eastAsia="Calibri" w:hAnsiTheme="majorHAnsi" w:cstheme="majorHAnsi"/>
          <w:sz w:val="22"/>
          <w:szCs w:val="22"/>
        </w:rPr>
        <w:t>, natomiast zasady kształtowania i kalkulacji taryf oraz rozliczeń w obrocie paliwami gazowymi określa Obwieszczenie Ministra Klimatu i Środowiska z dnia 13 stycznia 2021 r. w sprawie ogłoszenia jednolitego tekstu Rozporządzenia Ministra Energii w sprawie szczególnych zasad kształtowania i kalkulacji taryf oraz rozliczeń w obrocie paliwami gazowymi (Dz.U. 2021 poz. 280) oraz Rozporządzenia Ministra Klimatu i środowiska z dnia 23 listopada 2023 r. zmieniające rozporządzenie w sprawie szczegółowych zasad kształtowania i kalkulacji taryf oraz rozliczeń w obrocie paliwami gazowymi (Dz. U. 2023 poz. 2582). Parametry jakościowe paliw gazowych opisane są w Rozporządzeniu Ministra Gospodarki z dnia 2 lipca 2010 r. w sprawie szczególnych warunków funkcjonowania systemu gazowego (Dz.U. 2010 Nr 133 poz. 891).</w:t>
      </w:r>
    </w:p>
    <w:p w:rsidR="00C969D8" w:rsidRPr="00C969D8" w:rsidRDefault="00C969D8" w:rsidP="00C969D8">
      <w:pPr>
        <w:spacing w:after="0" w:line="240" w:lineRule="auto"/>
        <w:jc w:val="both"/>
        <w:rPr>
          <w:rFonts w:asciiTheme="majorHAnsi" w:eastAsia="Times New Roman" w:hAnsiTheme="majorHAnsi" w:cstheme="majorHAnsi"/>
        </w:rPr>
      </w:pPr>
    </w:p>
    <w:p w:rsidR="00C969D8" w:rsidRPr="00C969D8" w:rsidRDefault="00C969D8" w:rsidP="00C969D8">
      <w:pPr>
        <w:spacing w:after="0" w:line="240" w:lineRule="auto"/>
        <w:jc w:val="both"/>
        <w:rPr>
          <w:rFonts w:asciiTheme="majorHAnsi" w:eastAsia="Times New Roman" w:hAnsiTheme="majorHAnsi" w:cstheme="majorHAnsi"/>
        </w:rPr>
      </w:pPr>
    </w:p>
    <w:p w:rsidR="00C969D8" w:rsidRPr="00C969D8" w:rsidRDefault="00C969D8" w:rsidP="00C969D8">
      <w:pPr>
        <w:pStyle w:val="Akapitzlist"/>
        <w:numPr>
          <w:ilvl w:val="0"/>
          <w:numId w:val="1"/>
        </w:numPr>
        <w:tabs>
          <w:tab w:val="left" w:pos="284"/>
        </w:tabs>
        <w:spacing w:after="0" w:line="312" w:lineRule="auto"/>
        <w:ind w:left="0" w:firstLine="0"/>
        <w:jc w:val="both"/>
        <w:rPr>
          <w:rFonts w:asciiTheme="majorHAnsi" w:hAnsiTheme="majorHAnsi" w:cstheme="majorHAnsi"/>
          <w:b/>
        </w:rPr>
      </w:pPr>
      <w:r w:rsidRPr="00C969D8">
        <w:rPr>
          <w:rFonts w:asciiTheme="majorHAnsi" w:hAnsiTheme="majorHAnsi" w:cstheme="majorHAnsi"/>
          <w:b/>
        </w:rPr>
        <w:t xml:space="preserve">Termin realizacji przedmiotu zamówienia. </w:t>
      </w:r>
    </w:p>
    <w:p w:rsidR="00C969D8" w:rsidRPr="00C969D8" w:rsidRDefault="00C969D8" w:rsidP="00C969D8">
      <w:pPr>
        <w:widowControl w:val="0"/>
        <w:pBdr>
          <w:top w:val="nil"/>
          <w:left w:val="nil"/>
          <w:bottom w:val="nil"/>
          <w:right w:val="nil"/>
          <w:between w:val="nil"/>
        </w:pBdr>
        <w:spacing w:after="0" w:line="312" w:lineRule="auto"/>
        <w:jc w:val="both"/>
        <w:rPr>
          <w:rFonts w:asciiTheme="majorHAnsi" w:hAnsiTheme="majorHAnsi" w:cstheme="majorHAnsi"/>
        </w:rPr>
      </w:pPr>
      <w:r w:rsidRPr="00C969D8">
        <w:rPr>
          <w:rFonts w:asciiTheme="majorHAnsi" w:eastAsia="Helvetica Neue" w:hAnsiTheme="majorHAnsi" w:cstheme="majorHAnsi"/>
        </w:rPr>
        <w:t xml:space="preserve">Wykonawca zobowiązany będzie </w:t>
      </w:r>
      <w:r w:rsidRPr="00C969D8">
        <w:rPr>
          <w:rFonts w:asciiTheme="majorHAnsi" w:hAnsiTheme="majorHAnsi" w:cstheme="majorHAnsi"/>
        </w:rPr>
        <w:t>realizowane nie wcześniej niż przed 01.01.2025 r.</w:t>
      </w:r>
      <w:r w:rsidRPr="00C969D8">
        <w:rPr>
          <w:rFonts w:asciiTheme="majorHAnsi" w:hAnsiTheme="majorHAnsi" w:cstheme="majorHAnsi"/>
          <w:b/>
        </w:rPr>
        <w:t xml:space="preserve"> </w:t>
      </w:r>
      <w:r w:rsidRPr="00C969D8">
        <w:rPr>
          <w:rFonts w:asciiTheme="majorHAnsi" w:hAnsiTheme="majorHAnsi" w:cstheme="majorHAnsi"/>
        </w:rPr>
        <w:t xml:space="preserve">przez okres </w:t>
      </w:r>
      <w:r w:rsidR="0094398B">
        <w:rPr>
          <w:rFonts w:asciiTheme="majorHAnsi" w:hAnsiTheme="majorHAnsi" w:cstheme="majorHAnsi"/>
        </w:rPr>
        <w:t xml:space="preserve">                </w:t>
      </w:r>
      <w:bookmarkStart w:id="0" w:name="_GoBack"/>
      <w:bookmarkEnd w:id="0"/>
      <w:r w:rsidRPr="00C969D8">
        <w:rPr>
          <w:rFonts w:asciiTheme="majorHAnsi" w:hAnsiTheme="majorHAnsi" w:cstheme="majorHAnsi"/>
        </w:rPr>
        <w:t>12 miesięcy.</w:t>
      </w:r>
    </w:p>
    <w:p w:rsidR="00C969D8" w:rsidRPr="00C969D8" w:rsidRDefault="00C969D8" w:rsidP="00C969D8">
      <w:pPr>
        <w:pStyle w:val="Akapitzlist"/>
        <w:numPr>
          <w:ilvl w:val="0"/>
          <w:numId w:val="1"/>
        </w:numPr>
        <w:spacing w:after="0" w:line="312" w:lineRule="auto"/>
        <w:ind w:left="284" w:hanging="284"/>
        <w:jc w:val="both"/>
        <w:rPr>
          <w:rFonts w:asciiTheme="majorHAnsi" w:eastAsia="Times New Roman" w:hAnsiTheme="majorHAnsi" w:cstheme="majorHAnsi"/>
          <w:b/>
        </w:rPr>
      </w:pPr>
      <w:r w:rsidRPr="00C969D8">
        <w:rPr>
          <w:rFonts w:asciiTheme="majorHAnsi" w:hAnsiTheme="majorHAnsi" w:cstheme="majorHAnsi"/>
          <w:b/>
        </w:rPr>
        <w:t>Szacunkowy</w:t>
      </w:r>
      <w:r w:rsidRPr="00C969D8">
        <w:rPr>
          <w:rFonts w:asciiTheme="majorHAnsi" w:eastAsia="Times New Roman" w:hAnsiTheme="majorHAnsi" w:cstheme="majorHAnsi"/>
          <w:b/>
        </w:rPr>
        <w:t xml:space="preserve"> koszt zamówienia. </w:t>
      </w:r>
    </w:p>
    <w:p w:rsidR="00C969D8" w:rsidRPr="00C969D8" w:rsidRDefault="00C969D8" w:rsidP="00C969D8">
      <w:pPr>
        <w:pStyle w:val="Akapitzlist"/>
        <w:spacing w:after="0" w:line="312" w:lineRule="auto"/>
        <w:ind w:left="284"/>
        <w:jc w:val="both"/>
        <w:rPr>
          <w:rFonts w:asciiTheme="majorHAnsi" w:eastAsia="Times New Roman" w:hAnsiTheme="majorHAnsi" w:cstheme="majorHAnsi"/>
          <w:b/>
        </w:rPr>
      </w:pPr>
    </w:p>
    <w:p w:rsidR="00C969D8" w:rsidRPr="00C969D8" w:rsidRDefault="00C969D8" w:rsidP="00C969D8">
      <w:pPr>
        <w:suppressAutoHyphens w:val="0"/>
        <w:spacing w:after="0" w:line="312" w:lineRule="auto"/>
        <w:jc w:val="both"/>
        <w:rPr>
          <w:rFonts w:asciiTheme="majorHAnsi" w:eastAsia="Helvetica Neue" w:hAnsiTheme="majorHAnsi" w:cstheme="majorHAnsi"/>
          <w:color w:val="000000"/>
        </w:rPr>
      </w:pPr>
      <w:r w:rsidRPr="00C969D8">
        <w:rPr>
          <w:rFonts w:asciiTheme="majorHAnsi" w:eastAsia="Times New Roman" w:hAnsiTheme="majorHAnsi" w:cstheme="majorHAnsi"/>
        </w:rPr>
        <w:t xml:space="preserve">Wycena przedmiotu zamówienia, o którym mowa w pkt I – musi obejmować wszystkie koszty poniesione przez wykonawcę w związku z realizacją zamówienia w okresie trwania umowy, w tym wszystkie opłaty i  podatki związane z ponoszonymi kosztami. Pozyskane od Państwa informacje mają na celu wyłącznie rozpoznanie rynku i uzyskanie wiedzy nt. możliwej wartości przedmiotu zamówienia. </w:t>
      </w:r>
    </w:p>
    <w:p w:rsidR="00C969D8" w:rsidRPr="00C969D8" w:rsidRDefault="00C969D8" w:rsidP="00C969D8">
      <w:pPr>
        <w:suppressAutoHyphens w:val="0"/>
        <w:spacing w:after="0" w:line="312" w:lineRule="auto"/>
        <w:jc w:val="both"/>
        <w:rPr>
          <w:rFonts w:asciiTheme="majorHAnsi" w:eastAsia="Times New Roman" w:hAnsiTheme="majorHAnsi" w:cstheme="majorHAnsi"/>
        </w:rPr>
      </w:pPr>
    </w:p>
    <w:p w:rsidR="00C969D8" w:rsidRPr="00C969D8" w:rsidRDefault="00C969D8" w:rsidP="00C969D8">
      <w:pPr>
        <w:suppressAutoHyphens w:val="0"/>
        <w:spacing w:after="0" w:line="312" w:lineRule="auto"/>
        <w:jc w:val="both"/>
        <w:rPr>
          <w:rFonts w:asciiTheme="majorHAnsi" w:eastAsia="Times New Roman" w:hAnsiTheme="majorHAnsi" w:cstheme="majorHAnsi"/>
        </w:rPr>
      </w:pPr>
      <w:r w:rsidRPr="00C969D8">
        <w:rPr>
          <w:rFonts w:asciiTheme="majorHAnsi" w:eastAsia="Times New Roman" w:hAnsiTheme="majorHAnsi" w:cstheme="majorHAnsi"/>
          <w:b/>
        </w:rPr>
        <w:t>IV. Forma przesłania wyceny.</w:t>
      </w:r>
    </w:p>
    <w:p w:rsidR="00C969D8" w:rsidRPr="00C969D8" w:rsidRDefault="00C969D8" w:rsidP="00C969D8">
      <w:pPr>
        <w:suppressAutoHyphens w:val="0"/>
        <w:spacing w:after="0" w:line="312" w:lineRule="auto"/>
        <w:jc w:val="both"/>
        <w:rPr>
          <w:rFonts w:asciiTheme="majorHAnsi" w:eastAsia="Times New Roman" w:hAnsiTheme="majorHAnsi" w:cstheme="majorHAnsi"/>
        </w:rPr>
      </w:pPr>
      <w:r w:rsidRPr="00C969D8">
        <w:rPr>
          <w:rFonts w:asciiTheme="majorHAnsi" w:eastAsia="Times New Roman" w:hAnsiTheme="majorHAnsi" w:cstheme="majorHAnsi"/>
        </w:rPr>
        <w:t>Prosimy o przesyłanie wyceny kosztów realizacji przedmiotu umowy na adres mailowy:</w:t>
      </w:r>
      <w:r w:rsidRPr="00C969D8">
        <w:rPr>
          <w:rFonts w:asciiTheme="majorHAnsi" w:hAnsiTheme="majorHAnsi" w:cstheme="majorHAnsi"/>
        </w:rPr>
        <w:t xml:space="preserve"> pwojnowski@mnw.art.pl </w:t>
      </w:r>
      <w:r w:rsidR="00AB1355">
        <w:rPr>
          <w:rFonts w:asciiTheme="majorHAnsi" w:hAnsiTheme="majorHAnsi" w:cstheme="majorHAnsi"/>
        </w:rPr>
        <w:t xml:space="preserve">oraz telefon: 502 170 718 </w:t>
      </w:r>
      <w:r w:rsidRPr="00C969D8">
        <w:rPr>
          <w:rFonts w:asciiTheme="majorHAnsi" w:eastAsia="Times New Roman" w:hAnsiTheme="majorHAnsi" w:cstheme="majorHAnsi"/>
          <w:b/>
          <w:u w:val="single"/>
        </w:rPr>
        <w:t xml:space="preserve">w nieprzekraczalnym terminie do dnia 21 października 2024 r do godz. 9. </w:t>
      </w:r>
    </w:p>
    <w:p w:rsidR="00C969D8" w:rsidRPr="00C969D8" w:rsidRDefault="00C969D8" w:rsidP="00C969D8">
      <w:pPr>
        <w:rPr>
          <w:rFonts w:asciiTheme="majorHAnsi" w:hAnsiTheme="majorHAnsi" w:cstheme="majorHAnsi"/>
        </w:rPr>
      </w:pPr>
    </w:p>
    <w:p w:rsidR="00C969D8" w:rsidRPr="00C969D8" w:rsidRDefault="00C969D8" w:rsidP="00C969D8">
      <w:pPr>
        <w:spacing w:after="0" w:line="240" w:lineRule="auto"/>
        <w:rPr>
          <w:rFonts w:asciiTheme="majorHAnsi" w:eastAsia="Times New Roman" w:hAnsiTheme="majorHAnsi" w:cstheme="majorHAnsi"/>
        </w:rPr>
      </w:pPr>
      <w:r w:rsidRPr="00C969D8">
        <w:rPr>
          <w:rFonts w:asciiTheme="majorHAnsi" w:eastAsia="Times New Roman" w:hAnsiTheme="majorHAnsi" w:cstheme="majorHAnsi"/>
        </w:rPr>
        <w:tab/>
      </w:r>
      <w:r w:rsidRPr="00C969D8">
        <w:rPr>
          <w:rFonts w:asciiTheme="majorHAnsi" w:eastAsia="Times New Roman" w:hAnsiTheme="majorHAnsi" w:cstheme="majorHAnsi"/>
        </w:rPr>
        <w:tab/>
      </w:r>
      <w:r w:rsidRPr="00C969D8">
        <w:rPr>
          <w:rFonts w:asciiTheme="majorHAnsi" w:eastAsia="Times New Roman" w:hAnsiTheme="majorHAnsi" w:cstheme="majorHAnsi"/>
        </w:rPr>
        <w:tab/>
      </w:r>
      <w:r w:rsidRPr="00C969D8">
        <w:rPr>
          <w:rFonts w:asciiTheme="majorHAnsi" w:eastAsia="Times New Roman" w:hAnsiTheme="majorHAnsi" w:cstheme="majorHAnsi"/>
        </w:rPr>
        <w:tab/>
      </w:r>
      <w:r w:rsidRPr="00C969D8">
        <w:rPr>
          <w:rFonts w:asciiTheme="majorHAnsi" w:eastAsia="Times New Roman" w:hAnsiTheme="majorHAnsi" w:cstheme="majorHAnsi"/>
        </w:rPr>
        <w:tab/>
      </w:r>
      <w:r w:rsidRPr="00C969D8">
        <w:rPr>
          <w:rFonts w:asciiTheme="majorHAnsi" w:eastAsia="Times New Roman" w:hAnsiTheme="majorHAnsi" w:cstheme="majorHAnsi"/>
        </w:rPr>
        <w:tab/>
      </w:r>
      <w:r w:rsidRPr="00C969D8">
        <w:rPr>
          <w:rFonts w:asciiTheme="majorHAnsi" w:eastAsia="Times New Roman" w:hAnsiTheme="majorHAnsi" w:cstheme="majorHAnsi"/>
        </w:rPr>
        <w:tab/>
        <w:t xml:space="preserve">            </w:t>
      </w:r>
      <w:r w:rsidRPr="00C969D8">
        <w:rPr>
          <w:rFonts w:asciiTheme="majorHAnsi" w:eastAsia="Times New Roman" w:hAnsiTheme="majorHAnsi" w:cstheme="majorHAnsi"/>
        </w:rPr>
        <w:tab/>
        <w:t xml:space="preserve">Piotr Wojnowski </w:t>
      </w:r>
    </w:p>
    <w:p w:rsidR="00C969D8" w:rsidRPr="00C969D8" w:rsidRDefault="00C969D8" w:rsidP="00C969D8">
      <w:pPr>
        <w:spacing w:after="0" w:line="280" w:lineRule="exact"/>
        <w:rPr>
          <w:rFonts w:asciiTheme="majorHAnsi" w:eastAsia="Times New Roman" w:hAnsiTheme="majorHAnsi" w:cstheme="majorHAnsi"/>
        </w:rPr>
      </w:pPr>
      <w:r w:rsidRPr="00C969D8">
        <w:rPr>
          <w:rFonts w:asciiTheme="majorHAnsi" w:eastAsia="Times New Roman" w:hAnsiTheme="majorHAnsi" w:cstheme="majorHAnsi"/>
        </w:rPr>
        <w:t xml:space="preserve">dnia 11.10.2024                  </w:t>
      </w:r>
      <w:r w:rsidRPr="00C969D8">
        <w:rPr>
          <w:rFonts w:asciiTheme="majorHAnsi" w:eastAsia="Times New Roman" w:hAnsiTheme="majorHAnsi" w:cstheme="majorHAnsi"/>
        </w:rPr>
        <w:tab/>
        <w:t xml:space="preserve">                                              ……….……..........................................</w:t>
      </w:r>
    </w:p>
    <w:p w:rsidR="00C969D8" w:rsidRPr="00C969D8" w:rsidRDefault="00C969D8" w:rsidP="00C969D8">
      <w:pPr>
        <w:pStyle w:val="Bezodstpw"/>
        <w:ind w:left="5664"/>
        <w:rPr>
          <w:rFonts w:asciiTheme="majorHAnsi" w:hAnsiTheme="majorHAnsi" w:cstheme="majorHAnsi"/>
        </w:rPr>
      </w:pPr>
      <w:r w:rsidRPr="00C969D8">
        <w:rPr>
          <w:rFonts w:asciiTheme="majorHAnsi" w:hAnsiTheme="majorHAnsi" w:cstheme="majorHAnsi"/>
        </w:rPr>
        <w:t>podpis osoby odpowiedzialnej za przeprowadzenie postępowania</w:t>
      </w:r>
    </w:p>
    <w:p w:rsidR="00C969D8" w:rsidRPr="00C969D8" w:rsidRDefault="00C969D8" w:rsidP="00C969D8">
      <w:pPr>
        <w:spacing w:after="0" w:line="240" w:lineRule="auto"/>
        <w:rPr>
          <w:rFonts w:asciiTheme="majorHAnsi" w:eastAsia="Times New Roman" w:hAnsiTheme="majorHAnsi" w:cstheme="majorHAnsi"/>
        </w:rPr>
      </w:pPr>
    </w:p>
    <w:p w:rsidR="00C969D8" w:rsidRPr="00C969D8" w:rsidRDefault="00C969D8" w:rsidP="00C969D8">
      <w:pPr>
        <w:rPr>
          <w:rFonts w:asciiTheme="majorHAnsi" w:hAnsiTheme="majorHAnsi" w:cstheme="majorHAnsi"/>
        </w:rPr>
      </w:pPr>
    </w:p>
    <w:p w:rsidR="00C969D8" w:rsidRPr="00C969D8" w:rsidRDefault="00C969D8" w:rsidP="00C969D8">
      <w:pPr>
        <w:rPr>
          <w:rFonts w:asciiTheme="majorHAnsi" w:hAnsiTheme="majorHAnsi" w:cstheme="majorHAnsi"/>
        </w:rPr>
      </w:pPr>
    </w:p>
    <w:p w:rsidR="00C969D8" w:rsidRPr="00C969D8" w:rsidRDefault="00C969D8" w:rsidP="00C969D8">
      <w:pPr>
        <w:suppressAutoHyphens w:val="0"/>
        <w:spacing w:after="0" w:line="240" w:lineRule="auto"/>
        <w:rPr>
          <w:rFonts w:asciiTheme="majorHAnsi" w:eastAsia="Times New Roman" w:hAnsiTheme="majorHAnsi" w:cstheme="majorHAnsi"/>
          <w:b/>
          <w:bCs/>
          <w:color w:val="000000"/>
        </w:rPr>
      </w:pPr>
      <w:r w:rsidRPr="00C969D8">
        <w:rPr>
          <w:rFonts w:asciiTheme="majorHAnsi" w:hAnsiTheme="majorHAnsi" w:cstheme="majorHAnsi"/>
        </w:rPr>
        <w:t xml:space="preserve">Załączniki : </w:t>
      </w:r>
      <w:r w:rsidRPr="00C969D8">
        <w:rPr>
          <w:rFonts w:asciiTheme="majorHAnsi" w:eastAsia="Times New Roman" w:hAnsiTheme="majorHAnsi" w:cstheme="majorHAnsi"/>
          <w:b/>
          <w:bCs/>
          <w:color w:val="000000"/>
        </w:rPr>
        <w:t xml:space="preserve">FORMULARZ CENOWY </w:t>
      </w:r>
    </w:p>
    <w:p w:rsidR="00C969D8" w:rsidRPr="00C969D8" w:rsidRDefault="00C969D8" w:rsidP="00C969D8">
      <w:pPr>
        <w:rPr>
          <w:rFonts w:asciiTheme="majorHAnsi" w:hAnsiTheme="majorHAnsi" w:cstheme="majorHAnsi"/>
        </w:rPr>
      </w:pPr>
    </w:p>
    <w:sectPr w:rsidR="00C969D8" w:rsidRPr="00C969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200247B" w:usb2="00000009" w:usb3="00000000" w:csb0="000001FF" w:csb1="00000000"/>
  </w:font>
  <w:font w:name="TimesNewRomanPSMT;Times New Rom">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56246"/>
    <w:multiLevelType w:val="hybridMultilevel"/>
    <w:tmpl w:val="A6A2FD8A"/>
    <w:lvl w:ilvl="0" w:tplc="F364CA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322334CB"/>
    <w:multiLevelType w:val="hybridMultilevel"/>
    <w:tmpl w:val="1E2022A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B91CE9"/>
    <w:multiLevelType w:val="hybridMultilevel"/>
    <w:tmpl w:val="A0EE3D62"/>
    <w:lvl w:ilvl="0" w:tplc="A96E680E">
      <w:start w:val="19"/>
      <w:numFmt w:val="decimal"/>
      <w:lvlText w:val="%1."/>
      <w:lvlJc w:val="left"/>
      <w:pPr>
        <w:ind w:left="502"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 w15:restartNumberingAfterBreak="0">
    <w:nsid w:val="39A41947"/>
    <w:multiLevelType w:val="hybridMultilevel"/>
    <w:tmpl w:val="D42091DE"/>
    <w:lvl w:ilvl="0" w:tplc="AFB2EEE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00443D6"/>
    <w:multiLevelType w:val="hybridMultilevel"/>
    <w:tmpl w:val="B838DE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9D8"/>
    <w:rsid w:val="0053042E"/>
    <w:rsid w:val="0094398B"/>
    <w:rsid w:val="00AB1355"/>
    <w:rsid w:val="00BA6BE3"/>
    <w:rsid w:val="00C96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20458"/>
  <w15:chartTrackingRefBased/>
  <w15:docId w15:val="{1CD416DB-249C-4884-8084-F0AE5CC1B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69D8"/>
    <w:pPr>
      <w:suppressAutoHyphens/>
      <w:spacing w:after="200" w:line="276" w:lineRule="auto"/>
    </w:pPr>
    <w:rPr>
      <w:rFonts w:ascii="Calibri" w:eastAsia="Calibri" w:hAnsi="Calibri" w:cs="Calibri"/>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 BS,L1,Numerowanie,List Paragraph,Nagłowek 3,Preambuła,Kolorowa lista — akcent 11,Dot pt,F5 List Paragraph,Recommendation,List Paragraph11,lp1,maz_wyliczenie,opis dzialania,K-P_odwolanie,A_wyliczenie,Akapit z listą 1"/>
    <w:basedOn w:val="Normalny"/>
    <w:link w:val="AkapitzlistZnak"/>
    <w:uiPriority w:val="34"/>
    <w:qFormat/>
    <w:rsid w:val="00C969D8"/>
    <w:pPr>
      <w:ind w:left="720"/>
      <w:contextualSpacing/>
    </w:pPr>
    <w:rPr>
      <w:lang w:eastAsia="en-US"/>
    </w:rPr>
  </w:style>
  <w:style w:type="paragraph" w:styleId="Bezodstpw">
    <w:name w:val="No Spacing"/>
    <w:uiPriority w:val="1"/>
    <w:qFormat/>
    <w:rsid w:val="00C969D8"/>
    <w:pPr>
      <w:suppressAutoHyphens/>
      <w:spacing w:after="0" w:line="240" w:lineRule="auto"/>
    </w:pPr>
    <w:rPr>
      <w:rFonts w:ascii="Calibri" w:eastAsia="Calibri" w:hAnsi="Calibri" w:cs="Calibri"/>
      <w:lang w:eastAsia="pl-PL"/>
    </w:rPr>
  </w:style>
  <w:style w:type="paragraph" w:styleId="NormalnyWeb">
    <w:name w:val="Normal (Web)"/>
    <w:basedOn w:val="Normalny"/>
    <w:uiPriority w:val="99"/>
    <w:semiHidden/>
    <w:unhideWhenUsed/>
    <w:rsid w:val="00C969D8"/>
    <w:pPr>
      <w:suppressAutoHyphens w:val="0"/>
      <w:spacing w:before="100" w:beforeAutospacing="1" w:after="100" w:afterAutospacing="1" w:line="240" w:lineRule="auto"/>
    </w:pPr>
    <w:rPr>
      <w:rFonts w:ascii="Times New Roman" w:eastAsiaTheme="minorHAnsi" w:hAnsi="Times New Roman" w:cs="Times New Roman"/>
      <w:sz w:val="24"/>
      <w:szCs w:val="24"/>
    </w:rPr>
  </w:style>
  <w:style w:type="character" w:customStyle="1" w:styleId="AkapitzlistZnak">
    <w:name w:val="Akapit z listą Znak"/>
    <w:aliases w:val="Akapit z listą BS Znak,L1 Znak,Numerowanie Znak,List Paragraph Znak,Nagłowek 3 Znak,Preambuła Znak,Kolorowa lista — akcent 11 Znak,Dot pt Znak,F5 List Paragraph Znak,Recommendation Znak,List Paragraph11 Znak,lp1 Znak"/>
    <w:link w:val="Akapitzlist"/>
    <w:uiPriority w:val="34"/>
    <w:qFormat/>
    <w:locked/>
    <w:rsid w:val="00C969D8"/>
    <w:rPr>
      <w:rFonts w:ascii="Calibri" w:eastAsia="Calibri" w:hAnsi="Calibri" w:cs="Calibri"/>
    </w:rPr>
  </w:style>
  <w:style w:type="paragraph" w:customStyle="1" w:styleId="Tretekstu">
    <w:name w:val="Treść tekstu"/>
    <w:basedOn w:val="Normalny"/>
    <w:rsid w:val="00C969D8"/>
    <w:pPr>
      <w:widowControl w:val="0"/>
      <w:spacing w:after="120" w:line="240" w:lineRule="auto"/>
    </w:pPr>
    <w:rPr>
      <w:rFonts w:ascii="Liberation Serif" w:eastAsia="SimSun" w:hAnsi="Liberation Serif"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96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1810</Words>
  <Characters>10860</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Wojnowski</dc:creator>
  <cp:keywords/>
  <dc:description/>
  <cp:lastModifiedBy>Bożena Pobikrowska</cp:lastModifiedBy>
  <cp:revision>3</cp:revision>
  <dcterms:created xsi:type="dcterms:W3CDTF">2024-10-10T15:09:00Z</dcterms:created>
  <dcterms:modified xsi:type="dcterms:W3CDTF">2024-10-11T05:50:00Z</dcterms:modified>
</cp:coreProperties>
</file>