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9D4" w:rsidRPr="005E39D4" w:rsidRDefault="005E39D4" w:rsidP="005E39D4">
      <w:pPr>
        <w:jc w:val="right"/>
        <w:rPr>
          <w:sz w:val="20"/>
          <w:szCs w:val="20"/>
        </w:rPr>
      </w:pPr>
    </w:p>
    <w:p w:rsidR="005E39D4" w:rsidRPr="005E39D4" w:rsidRDefault="005E39D4" w:rsidP="005E39D4">
      <w:pPr>
        <w:jc w:val="center"/>
        <w:rPr>
          <w:sz w:val="20"/>
          <w:szCs w:val="20"/>
        </w:rPr>
      </w:pPr>
    </w:p>
    <w:p w:rsidR="0053629E" w:rsidRPr="00155C11" w:rsidRDefault="00586AC0" w:rsidP="005E39D4">
      <w:pPr>
        <w:jc w:val="center"/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SPIS NIERUCHOMOŚCI MUZEUM NARODOWEGO W WARSZAWIE</w:t>
      </w:r>
      <w:r>
        <w:rPr>
          <w:b/>
          <w:sz w:val="20"/>
          <w:szCs w:val="20"/>
        </w:rPr>
        <w:t xml:space="preserve"> – ZAŁĄCZNIK NUMER 9 DO SIWZ</w:t>
      </w:r>
    </w:p>
    <w:p w:rsidR="005E39D4" w:rsidRPr="005E39D4" w:rsidRDefault="005E39D4" w:rsidP="005E39D4">
      <w:pPr>
        <w:jc w:val="center"/>
        <w:rPr>
          <w:sz w:val="20"/>
          <w:szCs w:val="20"/>
        </w:rPr>
      </w:pPr>
    </w:p>
    <w:p w:rsidR="005E39D4" w:rsidRPr="00155C11" w:rsidRDefault="005E39D4" w:rsidP="005E39D4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Muzeum Narodowe w Warszawie</w:t>
      </w:r>
      <w:bookmarkStart w:id="0" w:name="_GoBack"/>
      <w:bookmarkEnd w:id="0"/>
    </w:p>
    <w:p w:rsidR="005E39D4" w:rsidRDefault="005E39D4" w:rsidP="005E39D4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Położenie: Al. Jerozolimskie 3,</w:t>
      </w:r>
    </w:p>
    <w:p w:rsidR="005E39D4" w:rsidRDefault="005E39D4" w:rsidP="005E39D4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Powierzchnia: 40 912 m</w:t>
      </w:r>
      <w:r w:rsidRPr="00DE44AA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152 940 m</w:t>
      </w:r>
      <w:r w:rsidRPr="00DE44AA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5E39D4" w:rsidRDefault="005E39D4" w:rsidP="005E39D4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Stan prawny: </w:t>
      </w:r>
      <w:r w:rsidR="005F7C3E">
        <w:rPr>
          <w:sz w:val="20"/>
          <w:szCs w:val="20"/>
        </w:rPr>
        <w:t xml:space="preserve">właścicielem jest Skarb Państwa, </w:t>
      </w:r>
      <w:r>
        <w:rPr>
          <w:sz w:val="20"/>
          <w:szCs w:val="20"/>
        </w:rPr>
        <w:t>wieczyste użytkowanie do dnia 5 grudnia 2089 r.,</w:t>
      </w:r>
    </w:p>
    <w:p w:rsidR="005E39D4" w:rsidRDefault="005E39D4" w:rsidP="005E39D4">
      <w:pPr>
        <w:pStyle w:val="Akapitzlist"/>
        <w:ind w:left="709"/>
        <w:rPr>
          <w:sz w:val="20"/>
          <w:szCs w:val="20"/>
        </w:rPr>
      </w:pPr>
      <w:r>
        <w:rPr>
          <w:sz w:val="20"/>
          <w:szCs w:val="20"/>
        </w:rPr>
        <w:t>Nabycie prawa użytkowania wieczystego gruntu oraz własności budynków, budowli i innych urządzeń znajdujących się na gruncie nastąpiło z mocy prawa z dniem 5.12.1990 r., co zostało stwierdzone w prawomocnej decyzji Wojewody Warszawskiego – Nr 534/93 z dnia 24.09.1993 r.</w:t>
      </w:r>
    </w:p>
    <w:p w:rsidR="005E39D4" w:rsidRDefault="005E39D4" w:rsidP="005E39D4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Nr księgi </w:t>
      </w:r>
      <w:r w:rsidR="00F371C5">
        <w:rPr>
          <w:sz w:val="20"/>
          <w:szCs w:val="20"/>
        </w:rPr>
        <w:t>wieczystej: WA4M / 00192025 / 8 (aktualizacja 5 stycznia 2012 r.),</w:t>
      </w:r>
    </w:p>
    <w:p w:rsidR="005E39D4" w:rsidRDefault="005E39D4" w:rsidP="005E39D4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Wpis do rejestru zabytków m.st. Warszawy: 17.11.1989 r. (Decyzja nr 1379-A)</w:t>
      </w:r>
      <w:r w:rsidR="00DE44AA">
        <w:rPr>
          <w:sz w:val="20"/>
          <w:szCs w:val="20"/>
        </w:rPr>
        <w:t>.</w:t>
      </w:r>
    </w:p>
    <w:p w:rsidR="005E39D4" w:rsidRDefault="005E39D4" w:rsidP="005E39D4">
      <w:pPr>
        <w:rPr>
          <w:sz w:val="20"/>
          <w:szCs w:val="20"/>
        </w:rPr>
      </w:pPr>
    </w:p>
    <w:p w:rsidR="005E39D4" w:rsidRPr="00155C11" w:rsidRDefault="005E39D4" w:rsidP="005E39D4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Grunty położone przy ul. Książęcej 2</w:t>
      </w:r>
    </w:p>
    <w:p w:rsidR="005E39D4" w:rsidRDefault="005E39D4" w:rsidP="005E39D4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Położenie: Ul. Książęca 2</w:t>
      </w:r>
    </w:p>
    <w:p w:rsidR="005E39D4" w:rsidRDefault="005E39D4" w:rsidP="005E39D4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Powierzchnia: 2</w:t>
      </w:r>
      <w:r w:rsidR="005F7C3E">
        <w:rPr>
          <w:sz w:val="20"/>
          <w:szCs w:val="20"/>
        </w:rPr>
        <w:t>5</w:t>
      </w:r>
      <w:r>
        <w:rPr>
          <w:sz w:val="20"/>
          <w:szCs w:val="20"/>
        </w:rPr>
        <w:t> 955 m</w:t>
      </w:r>
      <w:r w:rsidRPr="00DE44AA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działka nr ew. 28 z obrębu 5-06-01</w:t>
      </w:r>
    </w:p>
    <w:p w:rsidR="005E39D4" w:rsidRDefault="005E39D4" w:rsidP="005E39D4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Stan prawny: właścicielem jest Skarb Państwa, wieczyste użytkowanie do dnia 5 grudnia 2089 r.</w:t>
      </w:r>
    </w:p>
    <w:p w:rsidR="005E39D4" w:rsidRDefault="005E39D4" w:rsidP="005E39D4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Nabycie prawa użytkowania wieczystego  nastąpiło z mocy prawa z dniem 5.12.1990 r., co zostało stwierdzone w prawomocnej decyzji Wojewody Warszawskiego – Nr 444/93 z 13.08.1993 r. i Nr 30/94</w:t>
      </w:r>
      <w:r w:rsidR="00DE44AA">
        <w:rPr>
          <w:sz w:val="20"/>
          <w:szCs w:val="20"/>
        </w:rPr>
        <w:t xml:space="preserve"> z 18.01.2004 r.</w:t>
      </w:r>
    </w:p>
    <w:p w:rsidR="005E39D4" w:rsidRDefault="00DE44AA" w:rsidP="005E39D4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Nr księgi </w:t>
      </w:r>
      <w:r w:rsidR="00F371C5">
        <w:rPr>
          <w:sz w:val="20"/>
          <w:szCs w:val="20"/>
        </w:rPr>
        <w:t>wieczystej: WA4M / 00186853 / 6 (aktualizacja 5 stycznia 2012 r.),</w:t>
      </w:r>
    </w:p>
    <w:p w:rsidR="00DE44AA" w:rsidRDefault="00DE44AA" w:rsidP="005E39D4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Wpis do rejestru zabytków m.st. Warszawy: do rejestru zabytków Nr 278 wpisany został park i groty </w:t>
      </w:r>
      <w:r>
        <w:rPr>
          <w:sz w:val="20"/>
          <w:szCs w:val="20"/>
        </w:rPr>
        <w:br/>
        <w:t>d. ogrodu K. Poniatowskiego (wpisu dokonano w lipcu 1965 r.).</w:t>
      </w:r>
    </w:p>
    <w:p w:rsidR="00DE44AA" w:rsidRDefault="00DE44AA" w:rsidP="00DE44AA">
      <w:pPr>
        <w:rPr>
          <w:sz w:val="20"/>
          <w:szCs w:val="20"/>
        </w:rPr>
      </w:pPr>
    </w:p>
    <w:p w:rsidR="00DE44AA" w:rsidRPr="00155C11" w:rsidRDefault="0040536F" w:rsidP="00DE44AA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Muzeum Rzeźby w Królikarni</w:t>
      </w:r>
    </w:p>
    <w:p w:rsidR="00DE44AA" w:rsidRDefault="00DE44AA" w:rsidP="00DE44AA">
      <w:pPr>
        <w:pStyle w:val="Akapitzlis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Położenie: Ul. Puławska 113 a</w:t>
      </w:r>
      <w:r w:rsidR="00B03CFC">
        <w:rPr>
          <w:sz w:val="20"/>
          <w:szCs w:val="20"/>
        </w:rPr>
        <w:t>,</w:t>
      </w:r>
    </w:p>
    <w:p w:rsidR="00DE44AA" w:rsidRDefault="00DE44AA" w:rsidP="00DE44AA">
      <w:pPr>
        <w:pStyle w:val="Akapitzlis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Powierzchnia: </w:t>
      </w:r>
      <w:r w:rsidR="00DD4A8D">
        <w:rPr>
          <w:sz w:val="20"/>
          <w:szCs w:val="20"/>
        </w:rPr>
        <w:t>4, 2157 ha</w:t>
      </w:r>
      <w:r w:rsidR="00B03CFC">
        <w:rPr>
          <w:sz w:val="20"/>
          <w:szCs w:val="20"/>
        </w:rPr>
        <w:t>,</w:t>
      </w:r>
    </w:p>
    <w:p w:rsidR="00B03CFC" w:rsidRDefault="00B03CFC" w:rsidP="00DE44AA">
      <w:pPr>
        <w:pStyle w:val="Akapitzlis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Stan prawny: właścicielem jest Skarb Państwa, wieczyste użytkowanie do dnia 5 grudnia 2089 r.,</w:t>
      </w:r>
    </w:p>
    <w:p w:rsidR="00B03CFC" w:rsidRDefault="00B03CFC" w:rsidP="00B03CFC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Nabycie prawa użytkowania wieczystego nastąpiło z mocy prawa z dniem 5.12.1990 r.,  co zostało stwierdzone w prawomocnej decyzji Wojewody Warszawskiego</w:t>
      </w:r>
      <w:r w:rsidR="004D5F26">
        <w:rPr>
          <w:sz w:val="20"/>
          <w:szCs w:val="20"/>
        </w:rPr>
        <w:t xml:space="preserve"> – Nr 744/93 z dn. 17.12.1993 r.</w:t>
      </w:r>
    </w:p>
    <w:p w:rsidR="00DD4A8D" w:rsidRDefault="00DD4A8D" w:rsidP="00DE44AA">
      <w:pPr>
        <w:pStyle w:val="Akapitzlis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Nr księgi wieczystej: WA2M / 00166816 / 5</w:t>
      </w:r>
      <w:r w:rsidR="00F371C5">
        <w:rPr>
          <w:sz w:val="20"/>
          <w:szCs w:val="20"/>
        </w:rPr>
        <w:t xml:space="preserve"> (aktualizacja 5 stycznia 2012 r.),</w:t>
      </w:r>
    </w:p>
    <w:p w:rsidR="00A576B2" w:rsidRDefault="00A576B2" w:rsidP="00DE44AA">
      <w:pPr>
        <w:pStyle w:val="Akapitzlis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Wpis do rejestru zabytków m.st. Warszawy: na mocy decyzji Konserwatora Zabytków m.st. Warszawy z lipca 1965 r. wpisano do rejestru zabytków:</w:t>
      </w:r>
    </w:p>
    <w:p w:rsidR="00A576B2" w:rsidRDefault="00A576B2" w:rsidP="00A576B2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Pałac Królikarnia (Nr 456/1) pow. 1411 m</w:t>
      </w:r>
      <w:r w:rsidRPr="00A576B2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11 326 m</w:t>
      </w:r>
      <w:r w:rsidRPr="00A576B2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A576B2" w:rsidRDefault="00A576B2" w:rsidP="00A576B2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Park Królikarnia z mostem (Nr 456/2),</w:t>
      </w:r>
    </w:p>
    <w:p w:rsidR="00A576B2" w:rsidRDefault="00A576B2" w:rsidP="00A576B2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spellStart"/>
      <w:r>
        <w:rPr>
          <w:sz w:val="20"/>
          <w:szCs w:val="20"/>
        </w:rPr>
        <w:t>d.kuchnia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tzw</w:t>
      </w:r>
      <w:proofErr w:type="spellEnd"/>
      <w:r>
        <w:rPr>
          <w:sz w:val="20"/>
          <w:szCs w:val="20"/>
        </w:rPr>
        <w:t xml:space="preserve"> rotunda (Nr 456/3) pow. 515 m</w:t>
      </w:r>
      <w:r w:rsidRPr="00A576B2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2 190  m</w:t>
      </w:r>
      <w:r w:rsidRPr="00A576B2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A576B2" w:rsidRDefault="00A576B2" w:rsidP="00A576B2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budynki gospodarcze (Nr456/4) pow. 729 m</w:t>
      </w:r>
      <w:r w:rsidRPr="00A576B2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2 930 m</w:t>
      </w:r>
      <w:r w:rsidRPr="00A576B2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190A5F" w:rsidRDefault="00190A5F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A576B2" w:rsidRDefault="00A576B2" w:rsidP="00A576B2">
      <w:pPr>
        <w:rPr>
          <w:sz w:val="20"/>
          <w:szCs w:val="20"/>
        </w:rPr>
      </w:pPr>
    </w:p>
    <w:p w:rsidR="00A576B2" w:rsidRPr="00155C11" w:rsidRDefault="0040536F" w:rsidP="00A576B2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Muzeum w Nieborowie i Arkadii - Nieborów</w:t>
      </w:r>
    </w:p>
    <w:p w:rsidR="006114E6" w:rsidRDefault="006114E6" w:rsidP="006114E6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Położenie: Nieborów, powiat Łowicz</w:t>
      </w:r>
    </w:p>
    <w:p w:rsidR="006114E6" w:rsidRDefault="006114E6" w:rsidP="006114E6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Powierzchnia: 40,84 ha, kubatura 44 196 m</w:t>
      </w:r>
      <w:r w:rsidRPr="006114E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6114E6" w:rsidRDefault="006114E6" w:rsidP="006114E6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Stan prawny: właścicielem jest Skarb Państwa, wieczyste użytkowanie do dnia 4 grudnia 2089 r.</w:t>
      </w:r>
      <w:r w:rsidR="006405AF">
        <w:rPr>
          <w:sz w:val="20"/>
          <w:szCs w:val="20"/>
        </w:rPr>
        <w:t>,</w:t>
      </w:r>
    </w:p>
    <w:p w:rsidR="006405AF" w:rsidRDefault="006405AF" w:rsidP="006405A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Nabycie prawa użytkowania wieczystego nastąpiło 5.12.1990 r. z mocy prawa, co zostało stwierdzone w prawomocnej decyzji Urzędu Wojewódzkiego w Skierniewicach Nr G. VII</w:t>
      </w:r>
      <w:r w:rsidR="001D1024">
        <w:rPr>
          <w:sz w:val="20"/>
          <w:szCs w:val="20"/>
        </w:rPr>
        <w:t xml:space="preserve"> 72290/22/95 z dn. 6.12.1995 r. Nieruchomość uregulowana w KW 24525 składa się z działek hipotecznych Nr 491/2 i 842.</w:t>
      </w:r>
    </w:p>
    <w:p w:rsidR="006114E6" w:rsidRDefault="006114E6" w:rsidP="006114E6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Nr księgi wieczystej: </w:t>
      </w:r>
      <w:r w:rsidR="009C70AF">
        <w:rPr>
          <w:sz w:val="20"/>
          <w:szCs w:val="20"/>
        </w:rPr>
        <w:t>LD1O / 00024525 / 6</w:t>
      </w:r>
      <w:r w:rsidR="00F371C5">
        <w:rPr>
          <w:sz w:val="20"/>
          <w:szCs w:val="20"/>
        </w:rPr>
        <w:t xml:space="preserve"> (aktualizacja </w:t>
      </w:r>
      <w:r w:rsidR="009C70AF">
        <w:rPr>
          <w:sz w:val="20"/>
          <w:szCs w:val="20"/>
        </w:rPr>
        <w:t>28 lut</w:t>
      </w:r>
      <w:r w:rsidR="000B1C00">
        <w:rPr>
          <w:sz w:val="20"/>
          <w:szCs w:val="20"/>
        </w:rPr>
        <w:t>y</w:t>
      </w:r>
      <w:r w:rsidR="00F371C5">
        <w:rPr>
          <w:sz w:val="20"/>
          <w:szCs w:val="20"/>
        </w:rPr>
        <w:t xml:space="preserve"> 20</w:t>
      </w:r>
      <w:r w:rsidR="009C70AF">
        <w:rPr>
          <w:sz w:val="20"/>
          <w:szCs w:val="20"/>
        </w:rPr>
        <w:t>12</w:t>
      </w:r>
      <w:r w:rsidR="00F371C5">
        <w:rPr>
          <w:sz w:val="20"/>
          <w:szCs w:val="20"/>
        </w:rPr>
        <w:t xml:space="preserve"> r.),</w:t>
      </w:r>
    </w:p>
    <w:p w:rsidR="006405AF" w:rsidRDefault="001D1024" w:rsidP="006114E6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Wpis do rejestru zabytków: na mocy decyzji Głównego Konserwatora Zabytków z dn. 12.08.1967 r. park pałacowy w Nieborowie wpisano do rejestru zabytków województwa Łódzkiego (Nr 531).</w:t>
      </w:r>
    </w:p>
    <w:p w:rsidR="001D1024" w:rsidRDefault="001D1024" w:rsidP="001D1024">
      <w:pPr>
        <w:rPr>
          <w:sz w:val="20"/>
          <w:szCs w:val="20"/>
        </w:rPr>
      </w:pPr>
    </w:p>
    <w:p w:rsidR="001D1024" w:rsidRPr="00155C11" w:rsidRDefault="0040536F" w:rsidP="001D1024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 xml:space="preserve">Muzeum w Nieborowie i Arkadii - </w:t>
      </w:r>
      <w:r w:rsidR="001D1024" w:rsidRPr="00155C11">
        <w:rPr>
          <w:b/>
          <w:sz w:val="20"/>
          <w:szCs w:val="20"/>
        </w:rPr>
        <w:t>Arkadia</w:t>
      </w:r>
    </w:p>
    <w:p w:rsidR="001D1024" w:rsidRDefault="001D1024" w:rsidP="001D1024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Położenie: Nieborów, powiat Łowicz,</w:t>
      </w:r>
    </w:p>
    <w:p w:rsidR="001D1024" w:rsidRDefault="001D1024" w:rsidP="001D1024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Powierzchnia: 14,85 ha, kubatura 5 188 m</w:t>
      </w:r>
      <w:r w:rsidRPr="001D1024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1D1024" w:rsidRDefault="001D1024" w:rsidP="001D1024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Stan prawny: właścicielem jest Skarb Państwa, wieczyste użytkowanie do dnia 4 grudnia 2089 r.,</w:t>
      </w:r>
    </w:p>
    <w:p w:rsidR="00373907" w:rsidRDefault="00373907" w:rsidP="00373907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Nabycie prawa użytkowania wieczystego nastąpiło 5.12.1990 r. z mocy prawa, co zostało stwierdzone w prawomocnej decyzji Urzędu Wojewódzkiego w Skierniewicach Nr G. VII 72290/22/95 z dn. 6.12.1995 r.</w:t>
      </w:r>
    </w:p>
    <w:p w:rsidR="001D1024" w:rsidRDefault="00373907" w:rsidP="001D1024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Nr księgi wieczystej: </w:t>
      </w:r>
      <w:r w:rsidR="000B1C00">
        <w:rPr>
          <w:sz w:val="20"/>
          <w:szCs w:val="20"/>
        </w:rPr>
        <w:t>LD1O / 00022436 / 1</w:t>
      </w:r>
      <w:r w:rsidR="00F371C5">
        <w:rPr>
          <w:sz w:val="20"/>
          <w:szCs w:val="20"/>
        </w:rPr>
        <w:t xml:space="preserve"> (aktualizacja </w:t>
      </w:r>
      <w:r w:rsidR="000B1C00">
        <w:rPr>
          <w:sz w:val="20"/>
          <w:szCs w:val="20"/>
        </w:rPr>
        <w:t xml:space="preserve">28 </w:t>
      </w:r>
      <w:r w:rsidR="00F371C5">
        <w:rPr>
          <w:sz w:val="20"/>
          <w:szCs w:val="20"/>
        </w:rPr>
        <w:t>luty 20</w:t>
      </w:r>
      <w:r w:rsidR="000B1C00">
        <w:rPr>
          <w:sz w:val="20"/>
          <w:szCs w:val="20"/>
        </w:rPr>
        <w:t>12</w:t>
      </w:r>
      <w:r w:rsidR="00F371C5">
        <w:rPr>
          <w:sz w:val="20"/>
          <w:szCs w:val="20"/>
        </w:rPr>
        <w:t xml:space="preserve"> r.),</w:t>
      </w:r>
    </w:p>
    <w:p w:rsidR="00373907" w:rsidRDefault="00373907" w:rsidP="001D1024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Wpis do rejestru zabytków: na mocy decyzji Głównego Konserwatora Zabytków z dn. 12.08.1967 r. park w Arkadii wraz z pawilonami wpisano do rejestru zabytków województwa łódzkiego (Nr 145).</w:t>
      </w:r>
    </w:p>
    <w:p w:rsidR="00373907" w:rsidRDefault="00373907" w:rsidP="00373907">
      <w:pPr>
        <w:rPr>
          <w:sz w:val="20"/>
          <w:szCs w:val="20"/>
        </w:rPr>
      </w:pPr>
    </w:p>
    <w:p w:rsidR="00373907" w:rsidRPr="00155C11" w:rsidRDefault="0040536F" w:rsidP="00373907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 xml:space="preserve">Muzeum Wnętrz w </w:t>
      </w:r>
      <w:r w:rsidR="00373907" w:rsidRPr="00155C11">
        <w:rPr>
          <w:b/>
          <w:sz w:val="20"/>
          <w:szCs w:val="20"/>
        </w:rPr>
        <w:t>Otwock</w:t>
      </w:r>
      <w:r w:rsidRPr="00155C11">
        <w:rPr>
          <w:b/>
          <w:sz w:val="20"/>
          <w:szCs w:val="20"/>
        </w:rPr>
        <w:t>u</w:t>
      </w:r>
      <w:r w:rsidR="00417A0F" w:rsidRPr="00155C11">
        <w:rPr>
          <w:b/>
          <w:sz w:val="20"/>
          <w:szCs w:val="20"/>
        </w:rPr>
        <w:t xml:space="preserve"> Wielki</w:t>
      </w:r>
      <w:r w:rsidRPr="00155C11">
        <w:rPr>
          <w:b/>
          <w:sz w:val="20"/>
          <w:szCs w:val="20"/>
        </w:rPr>
        <w:t>m</w:t>
      </w:r>
    </w:p>
    <w:p w:rsidR="00373907" w:rsidRDefault="00373907" w:rsidP="00373907">
      <w:pPr>
        <w:pStyle w:val="Akapitzlist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Położenie: Otwock Wielki, Gmina Karczew,</w:t>
      </w:r>
    </w:p>
    <w:p w:rsidR="00373907" w:rsidRDefault="00373907" w:rsidP="00373907">
      <w:pPr>
        <w:pStyle w:val="Akapitzlist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Powierzchnia: zespół pałacowo-parkowy 80 ha 33 a (pałac pow. Użytkowa 5 298 m</w:t>
      </w:r>
      <w:r w:rsidRPr="00373907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25 560 m</w:t>
      </w:r>
      <w:r w:rsidRPr="00373907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),</w:t>
      </w:r>
    </w:p>
    <w:p w:rsidR="00373907" w:rsidRDefault="00373907" w:rsidP="00373907">
      <w:pPr>
        <w:pStyle w:val="Akapitzlist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Stan prawny: właścicielem jest Skarb Państwa, umowa użyczenia z dnia 28.01.2004 r. zawarta z </w:t>
      </w:r>
      <w:proofErr w:type="spellStart"/>
      <w:r>
        <w:rPr>
          <w:sz w:val="20"/>
          <w:szCs w:val="20"/>
        </w:rPr>
        <w:t>MKiDN</w:t>
      </w:r>
      <w:proofErr w:type="spellEnd"/>
      <w:r>
        <w:rPr>
          <w:sz w:val="20"/>
          <w:szCs w:val="20"/>
        </w:rPr>
        <w:t xml:space="preserve"> na czas nieoznaczony,</w:t>
      </w:r>
    </w:p>
    <w:p w:rsidR="00373907" w:rsidRDefault="00373907" w:rsidP="00373907">
      <w:pPr>
        <w:pStyle w:val="Akapitzlist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Nr księgi wieczystej: </w:t>
      </w:r>
      <w:r w:rsidR="008B0EBF">
        <w:rPr>
          <w:sz w:val="20"/>
          <w:szCs w:val="20"/>
        </w:rPr>
        <w:t>WA1O / 00015249 / 1</w:t>
      </w:r>
      <w:r w:rsidR="00F371C5">
        <w:rPr>
          <w:sz w:val="20"/>
          <w:szCs w:val="20"/>
        </w:rPr>
        <w:t xml:space="preserve"> (aktualizacja 5 stycznia 2012 r.),</w:t>
      </w:r>
    </w:p>
    <w:p w:rsidR="00417A0F" w:rsidRDefault="00417A0F" w:rsidP="00373907">
      <w:pPr>
        <w:pStyle w:val="Akapitzlist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Wpis do rejestru zabytków:</w:t>
      </w:r>
      <w:r w:rsidR="00155C11">
        <w:rPr>
          <w:sz w:val="20"/>
          <w:szCs w:val="20"/>
        </w:rPr>
        <w:t xml:space="preserve"> decyzja Nr 1578 z dnia 18.04.1994 r.</w:t>
      </w:r>
    </w:p>
    <w:p w:rsidR="00417A0F" w:rsidRDefault="00417A0F" w:rsidP="00417A0F">
      <w:pPr>
        <w:rPr>
          <w:sz w:val="20"/>
          <w:szCs w:val="20"/>
        </w:rPr>
      </w:pPr>
    </w:p>
    <w:p w:rsidR="00417A0F" w:rsidRPr="00155C11" w:rsidRDefault="00417A0F" w:rsidP="00417A0F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Muzeum Plakatu w Wilanowie</w:t>
      </w:r>
    </w:p>
    <w:p w:rsidR="00417A0F" w:rsidRDefault="00417A0F" w:rsidP="00417A0F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Położenie: St. Kostki Potockiego 10/16 </w:t>
      </w:r>
    </w:p>
    <w:p w:rsidR="00417A0F" w:rsidRDefault="00417A0F" w:rsidP="00417A0F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Powierzchnia: budynek Muzeum Plakatu pow. 1 840 m</w:t>
      </w:r>
      <w:r w:rsidRPr="00417A0F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budynek kuźni pow. 582 m</w:t>
      </w:r>
      <w:r w:rsidRPr="00417A0F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łączna kubatura 10 300 m</w:t>
      </w:r>
      <w:r w:rsidRPr="00417A0F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417A0F" w:rsidRDefault="00417A0F" w:rsidP="00417A0F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Stan prawny: budynek Muzeum Plakatu i budynek Kuźni (będące w użytkowaniu wieczystym Muzeum Pałac w Wilanowie) – umowa użyczenia z dnia 29.02.1996 r. zawarta z Muzeum Pałac w Wilanowie na czas nieokreślony,</w:t>
      </w:r>
    </w:p>
    <w:p w:rsidR="00AA55CD" w:rsidRDefault="00AA55CD" w:rsidP="00AA55CD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Księga wieczysta </w:t>
      </w:r>
      <w:r w:rsidRPr="008B0EBF">
        <w:rPr>
          <w:sz w:val="20"/>
          <w:szCs w:val="20"/>
          <w:u w:val="single"/>
        </w:rPr>
        <w:t>całej nieruchomości</w:t>
      </w:r>
      <w:r>
        <w:rPr>
          <w:sz w:val="20"/>
          <w:szCs w:val="20"/>
        </w:rPr>
        <w:t xml:space="preserve"> (MNW korzysta z części): WA2M / 00440996 / 5</w:t>
      </w:r>
    </w:p>
    <w:p w:rsidR="00190A5F" w:rsidRDefault="00190A5F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17A0F" w:rsidRPr="00155C11" w:rsidRDefault="00417A0F" w:rsidP="00417A0F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lastRenderedPageBreak/>
        <w:t>Muzeum Policji</w:t>
      </w:r>
      <w:r w:rsidR="0040536F" w:rsidRPr="00155C11">
        <w:rPr>
          <w:b/>
          <w:sz w:val="20"/>
          <w:szCs w:val="20"/>
        </w:rPr>
        <w:t xml:space="preserve"> w Pałacu Mostowskich</w:t>
      </w:r>
    </w:p>
    <w:p w:rsidR="00417A0F" w:rsidRDefault="00417A0F" w:rsidP="00417A0F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Położenie: ul. Nowolipie 2,</w:t>
      </w:r>
    </w:p>
    <w:p w:rsidR="00417A0F" w:rsidRPr="00417A0F" w:rsidRDefault="00417A0F" w:rsidP="00417A0F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Powierzchnia: pomieszczenia w Pałacu Mostowskich 190 m</w:t>
      </w:r>
      <w:r w:rsidRPr="00417A0F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1140 m</w:t>
      </w:r>
      <w:r w:rsidRPr="00417A0F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  <w:r w:rsidRPr="00417A0F">
        <w:rPr>
          <w:sz w:val="20"/>
          <w:szCs w:val="20"/>
        </w:rPr>
        <w:t xml:space="preserve"> </w:t>
      </w:r>
    </w:p>
    <w:p w:rsidR="00417A0F" w:rsidRDefault="00417A0F" w:rsidP="00417A0F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Stan prawny: porozumienie z czerwca 2004 zawarte z Komendantem Stołecznym Policji na okres 10 lat,</w:t>
      </w:r>
    </w:p>
    <w:p w:rsidR="008B0EBF" w:rsidRDefault="008B0EBF" w:rsidP="00417A0F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 xml:space="preserve">Księga wieczysta </w:t>
      </w:r>
      <w:r w:rsidRPr="008B0EBF">
        <w:rPr>
          <w:sz w:val="20"/>
          <w:szCs w:val="20"/>
          <w:u w:val="single"/>
        </w:rPr>
        <w:t>całej nieruchomości</w:t>
      </w:r>
      <w:r>
        <w:rPr>
          <w:sz w:val="20"/>
          <w:szCs w:val="20"/>
        </w:rPr>
        <w:t xml:space="preserve"> (MNW korzysta z części): WA4M / 00234330 / 6</w:t>
      </w:r>
    </w:p>
    <w:p w:rsidR="00417A0F" w:rsidRDefault="00417A0F" w:rsidP="00417A0F">
      <w:pPr>
        <w:rPr>
          <w:sz w:val="20"/>
          <w:szCs w:val="20"/>
        </w:rPr>
      </w:pPr>
    </w:p>
    <w:p w:rsidR="00417A0F" w:rsidRPr="00155C11" w:rsidRDefault="00417A0F" w:rsidP="00417A0F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Łazienki:</w:t>
      </w:r>
    </w:p>
    <w:p w:rsidR="00417A0F" w:rsidRDefault="00417A0F" w:rsidP="00417A0F">
      <w:pPr>
        <w:pStyle w:val="Akapitzlist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Położenie: Muzeum Łazienki Królewskie,</w:t>
      </w:r>
    </w:p>
    <w:p w:rsidR="00417A0F" w:rsidRDefault="00417A0F" w:rsidP="00417A0F">
      <w:pPr>
        <w:pStyle w:val="Akapitzlist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 xml:space="preserve">Powierzchnia: </w:t>
      </w:r>
    </w:p>
    <w:p w:rsidR="00417A0F" w:rsidRDefault="00417A0F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budynek Działu Transportu – pow. 42,4 m</w:t>
      </w:r>
      <w:r w:rsidRPr="00156CB6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ok. 127,2 m</w:t>
      </w:r>
      <w:r w:rsidRPr="00156CB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417A0F" w:rsidRDefault="00417A0F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laboratorium – pow. 176 m</w:t>
      </w:r>
      <w:r w:rsidRPr="00156CB6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ok. 528 m</w:t>
      </w:r>
      <w:r w:rsidRPr="00156CB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417A0F" w:rsidRDefault="00417A0F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pomieszczenie magazynowe – pow. 143 m</w:t>
      </w:r>
      <w:r w:rsidRPr="00156CB6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ok. 429 m</w:t>
      </w:r>
      <w:r w:rsidRPr="00156CB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156CB6" w:rsidRDefault="00417A0F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 xml:space="preserve">- budynek warsztatowo-garażowy – pow. </w:t>
      </w:r>
      <w:r w:rsidR="00156CB6">
        <w:rPr>
          <w:sz w:val="20"/>
          <w:szCs w:val="20"/>
        </w:rPr>
        <w:t>89,3 m</w:t>
      </w:r>
      <w:r w:rsidR="00156CB6" w:rsidRPr="00156CB6">
        <w:rPr>
          <w:sz w:val="20"/>
          <w:szCs w:val="20"/>
          <w:vertAlign w:val="superscript"/>
        </w:rPr>
        <w:t>2</w:t>
      </w:r>
      <w:r w:rsidR="00156CB6">
        <w:rPr>
          <w:sz w:val="20"/>
          <w:szCs w:val="20"/>
        </w:rPr>
        <w:t>, kubatura ok. 357,2 m</w:t>
      </w:r>
      <w:r w:rsidR="00156CB6" w:rsidRPr="00156CB6">
        <w:rPr>
          <w:sz w:val="20"/>
          <w:szCs w:val="20"/>
          <w:vertAlign w:val="superscript"/>
        </w:rPr>
        <w:t>3</w:t>
      </w:r>
      <w:r w:rsidR="00156CB6">
        <w:rPr>
          <w:sz w:val="20"/>
          <w:szCs w:val="20"/>
        </w:rPr>
        <w:t>,</w:t>
      </w:r>
    </w:p>
    <w:p w:rsidR="00156CB6" w:rsidRDefault="00156CB6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budynek kuźni – pow. 40 m</w:t>
      </w:r>
      <w:r w:rsidRPr="00156CB6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ok. 100 m</w:t>
      </w:r>
      <w:r w:rsidRPr="00156CB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417A0F" w:rsidRDefault="00156CB6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wiata – pow. 44,2 m</w:t>
      </w:r>
      <w:r w:rsidRPr="00156CB6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ok. 132,6 m</w:t>
      </w:r>
      <w:r w:rsidRPr="00156CB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  <w:r w:rsidR="00417A0F">
        <w:rPr>
          <w:sz w:val="20"/>
          <w:szCs w:val="20"/>
        </w:rPr>
        <w:t xml:space="preserve"> </w:t>
      </w:r>
    </w:p>
    <w:p w:rsidR="00417A0F" w:rsidRDefault="00156CB6" w:rsidP="00417A0F">
      <w:pPr>
        <w:pStyle w:val="Akapitzlist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Stan prawny: umowa najmu z dnia 30.12.1996 r. z Muzeum Łazienki Królewskie Zespół Pałacowo-Ogrodowy na czas nieokreślony.</w:t>
      </w:r>
    </w:p>
    <w:p w:rsidR="00156CB6" w:rsidRDefault="00156CB6" w:rsidP="00155C11">
      <w:pPr>
        <w:jc w:val="center"/>
        <w:rPr>
          <w:sz w:val="20"/>
          <w:szCs w:val="20"/>
        </w:rPr>
      </w:pPr>
    </w:p>
    <w:p w:rsidR="00156CB6" w:rsidRPr="00155C11" w:rsidRDefault="00156CB6" w:rsidP="00156CB6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Tarczyn</w:t>
      </w:r>
      <w:r w:rsidR="00F371C5">
        <w:rPr>
          <w:b/>
          <w:sz w:val="20"/>
          <w:szCs w:val="20"/>
        </w:rPr>
        <w:t>:</w:t>
      </w:r>
    </w:p>
    <w:p w:rsidR="00156CB6" w:rsidRDefault="00156CB6" w:rsidP="00156CB6">
      <w:pPr>
        <w:pStyle w:val="Akapitzlis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Położenie: nieruchomość w Tarczynie,</w:t>
      </w:r>
    </w:p>
    <w:p w:rsidR="00156CB6" w:rsidRDefault="00156CB6" w:rsidP="00156CB6">
      <w:pPr>
        <w:pStyle w:val="Akapitzlis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Powierzchnia: pow. Działki 5400 m2, budynek o pow. 1686 m</w:t>
      </w:r>
      <w:r w:rsidRPr="00155C11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5371 m</w:t>
      </w:r>
      <w:r w:rsidRPr="00155C11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012BFF" w:rsidRPr="00156CB6" w:rsidRDefault="00012BFF" w:rsidP="00156CB6">
      <w:pPr>
        <w:pStyle w:val="Akapitzlis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Stan prawny: umowa najmu z dnia 1.07.1998 r. z właścicielką Panią Alicją Kowalik, zawarta do dnia 30.09.2018 r.</w:t>
      </w:r>
    </w:p>
    <w:sectPr w:rsidR="00012BFF" w:rsidRPr="00156CB6" w:rsidSect="0053629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DED" w:rsidRDefault="00CB5DED" w:rsidP="001D1024">
      <w:pPr>
        <w:spacing w:after="0" w:line="240" w:lineRule="auto"/>
      </w:pPr>
      <w:r>
        <w:separator/>
      </w:r>
    </w:p>
  </w:endnote>
  <w:endnote w:type="continuationSeparator" w:id="0">
    <w:p w:rsidR="00CB5DED" w:rsidRDefault="00CB5DED" w:rsidP="001D1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71829"/>
      <w:docPartObj>
        <w:docPartGallery w:val="Page Numbers (Bottom of Page)"/>
        <w:docPartUnique/>
      </w:docPartObj>
    </w:sdtPr>
    <w:sdtContent>
      <w:p w:rsidR="0040536F" w:rsidRDefault="00922904">
        <w:pPr>
          <w:pStyle w:val="Stopka"/>
          <w:jc w:val="right"/>
        </w:pPr>
        <w:r>
          <w:fldChar w:fldCharType="begin"/>
        </w:r>
        <w:r w:rsidR="000336FD">
          <w:instrText xml:space="preserve"> PAGE   \* MERGEFORMAT </w:instrText>
        </w:r>
        <w:r>
          <w:fldChar w:fldCharType="separate"/>
        </w:r>
        <w:r w:rsidR="002D19F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536F" w:rsidRDefault="004053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DED" w:rsidRDefault="00CB5DED" w:rsidP="001D1024">
      <w:pPr>
        <w:spacing w:after="0" w:line="240" w:lineRule="auto"/>
      </w:pPr>
      <w:r>
        <w:separator/>
      </w:r>
    </w:p>
  </w:footnote>
  <w:footnote w:type="continuationSeparator" w:id="0">
    <w:p w:rsidR="00CB5DED" w:rsidRDefault="00CB5DED" w:rsidP="001D1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C7AAD"/>
    <w:multiLevelType w:val="hybridMultilevel"/>
    <w:tmpl w:val="71508E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74BAA"/>
    <w:multiLevelType w:val="hybridMultilevel"/>
    <w:tmpl w:val="1478A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B4852"/>
    <w:multiLevelType w:val="hybridMultilevel"/>
    <w:tmpl w:val="5EBE2E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25180"/>
    <w:multiLevelType w:val="hybridMultilevel"/>
    <w:tmpl w:val="8A02F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4E22D7"/>
    <w:multiLevelType w:val="hybridMultilevel"/>
    <w:tmpl w:val="8C284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E97D25"/>
    <w:multiLevelType w:val="hybridMultilevel"/>
    <w:tmpl w:val="F8463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704AA"/>
    <w:multiLevelType w:val="hybridMultilevel"/>
    <w:tmpl w:val="BF4E91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DE5BFD"/>
    <w:multiLevelType w:val="hybridMultilevel"/>
    <w:tmpl w:val="8A1613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5C075C"/>
    <w:multiLevelType w:val="hybridMultilevel"/>
    <w:tmpl w:val="88583A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EF580A"/>
    <w:multiLevelType w:val="hybridMultilevel"/>
    <w:tmpl w:val="6728CD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8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E39D4"/>
    <w:rsid w:val="00012BFF"/>
    <w:rsid w:val="000336FD"/>
    <w:rsid w:val="000B1C00"/>
    <w:rsid w:val="000B42EE"/>
    <w:rsid w:val="00155C11"/>
    <w:rsid w:val="00156CB6"/>
    <w:rsid w:val="00190A5F"/>
    <w:rsid w:val="001D1024"/>
    <w:rsid w:val="002479A3"/>
    <w:rsid w:val="002643C4"/>
    <w:rsid w:val="0027623B"/>
    <w:rsid w:val="002D19FC"/>
    <w:rsid w:val="00323F25"/>
    <w:rsid w:val="00373907"/>
    <w:rsid w:val="0040536F"/>
    <w:rsid w:val="00416F1F"/>
    <w:rsid w:val="00417A0F"/>
    <w:rsid w:val="004D5F26"/>
    <w:rsid w:val="004F41C8"/>
    <w:rsid w:val="00512890"/>
    <w:rsid w:val="0053629E"/>
    <w:rsid w:val="00586319"/>
    <w:rsid w:val="00586AC0"/>
    <w:rsid w:val="005D27BE"/>
    <w:rsid w:val="005E39D4"/>
    <w:rsid w:val="005F7C3E"/>
    <w:rsid w:val="006114E6"/>
    <w:rsid w:val="006405AF"/>
    <w:rsid w:val="006957D9"/>
    <w:rsid w:val="00836234"/>
    <w:rsid w:val="00854B0F"/>
    <w:rsid w:val="00883C53"/>
    <w:rsid w:val="008B0EBF"/>
    <w:rsid w:val="008F1E64"/>
    <w:rsid w:val="00922904"/>
    <w:rsid w:val="009C70AF"/>
    <w:rsid w:val="00A02BF3"/>
    <w:rsid w:val="00A576B2"/>
    <w:rsid w:val="00A87C33"/>
    <w:rsid w:val="00AA55CD"/>
    <w:rsid w:val="00B03CFC"/>
    <w:rsid w:val="00B27D3B"/>
    <w:rsid w:val="00B620A7"/>
    <w:rsid w:val="00B720B2"/>
    <w:rsid w:val="00CA4FA6"/>
    <w:rsid w:val="00CB5DED"/>
    <w:rsid w:val="00DC582E"/>
    <w:rsid w:val="00DD4A8D"/>
    <w:rsid w:val="00DE44AA"/>
    <w:rsid w:val="00F371C5"/>
    <w:rsid w:val="00F92DE3"/>
    <w:rsid w:val="00FE2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9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39D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102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102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102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05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536F"/>
  </w:style>
  <w:style w:type="paragraph" w:styleId="Stopka">
    <w:name w:val="footer"/>
    <w:basedOn w:val="Normalny"/>
    <w:link w:val="StopkaZnak"/>
    <w:uiPriority w:val="99"/>
    <w:unhideWhenUsed/>
    <w:rsid w:val="00405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53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39D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102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102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102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05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536F"/>
  </w:style>
  <w:style w:type="paragraph" w:styleId="Stopka">
    <w:name w:val="footer"/>
    <w:basedOn w:val="Normalny"/>
    <w:link w:val="StopkaZnak"/>
    <w:uiPriority w:val="99"/>
    <w:unhideWhenUsed/>
    <w:rsid w:val="00405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53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jdomagalski</dc:creator>
  <cp:lastModifiedBy>dwronska</cp:lastModifiedBy>
  <cp:revision>2</cp:revision>
  <cp:lastPrinted>2012-01-09T12:59:00Z</cp:lastPrinted>
  <dcterms:created xsi:type="dcterms:W3CDTF">2012-06-11T07:09:00Z</dcterms:created>
  <dcterms:modified xsi:type="dcterms:W3CDTF">2012-06-11T07:09:00Z</dcterms:modified>
</cp:coreProperties>
</file>